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6037" w:tblpY="4897"/>
        <w:tblW w:w="2745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955"/>
      </w:tblGrid>
      <w:tr w:rsidR="00517FBA" w:rsidRPr="00036364" w14:paraId="5565657F" w14:textId="77777777" w:rsidTr="00517FBA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1C172FE" w14:textId="77777777" w:rsidR="00517FBA" w:rsidRPr="00036364" w:rsidRDefault="00517FBA" w:rsidP="00517FBA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517FBA" w:rsidRPr="00036364" w14:paraId="73EFF746" w14:textId="77777777" w:rsidTr="00517FBA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2DF39034" w14:textId="5F635A59" w:rsidR="00517FBA" w:rsidRPr="00036364" w:rsidRDefault="00517FBA" w:rsidP="00517FBA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Gravimetric analysis of Nickel in a salt</w:t>
            </w:r>
          </w:p>
        </w:tc>
      </w:tr>
      <w:tr w:rsidR="00517FBA" w:rsidRPr="00036364" w14:paraId="68C8D2FA" w14:textId="77777777" w:rsidTr="00517FBA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57EE3735" w14:textId="6DD4D911" w:rsidR="00517FBA" w:rsidRPr="000959EE" w:rsidRDefault="000B4353" w:rsidP="00517FBA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="00517FBA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7EE2BD8E" w14:textId="7A973A8A" w:rsidR="00EA33A9" w:rsidRDefault="000F67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ADCBBA" wp14:editId="49461FCB">
                <wp:simplePos x="0" y="0"/>
                <wp:positionH relativeFrom="margin">
                  <wp:posOffset>-373380</wp:posOffset>
                </wp:positionH>
                <wp:positionV relativeFrom="paragraph">
                  <wp:posOffset>6103620</wp:posOffset>
                </wp:positionV>
                <wp:extent cx="309372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E5E9E" w14:textId="0CADDE14" w:rsidR="000F6785" w:rsidRPr="006463F1" w:rsidRDefault="000F67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463F1">
                              <w:rPr>
                                <w:sz w:val="16"/>
                                <w:szCs w:val="16"/>
                              </w:rPr>
                              <w:t xml:space="preserve">Image by </w:t>
                            </w:r>
                            <w:r w:rsidR="006463F1" w:rsidRPr="006463F1">
                              <w:rPr>
                                <w:sz w:val="16"/>
                                <w:szCs w:val="16"/>
                              </w:rPr>
                              <w:t>Asphalt91 (slightly cropped) via Wikimedia Commons under a</w:t>
                            </w:r>
                            <w:hyperlink r:id="rId5" w:history="1">
                              <w:r w:rsidR="006463F1" w:rsidRPr="006463F1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 xml:space="preserve"> Creative Commons License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ADCB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4pt;margin-top:480.6pt;width:243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" stroked="f">
                <v:textbox style="mso-fit-shape-to-text:t">
                  <w:txbxContent>
                    <w:p w14:paraId="27DE5E9E" w14:textId="0CADDE14" w:rsidR="000F6785" w:rsidRPr="006463F1" w:rsidRDefault="000F6785">
                      <w:pPr>
                        <w:rPr>
                          <w:sz w:val="16"/>
                          <w:szCs w:val="16"/>
                        </w:rPr>
                      </w:pPr>
                      <w:r w:rsidRPr="006463F1">
                        <w:rPr>
                          <w:sz w:val="16"/>
                          <w:szCs w:val="16"/>
                        </w:rPr>
                        <w:t xml:space="preserve">Image by </w:t>
                      </w:r>
                      <w:r w:rsidR="006463F1" w:rsidRPr="006463F1">
                        <w:rPr>
                          <w:sz w:val="16"/>
                          <w:szCs w:val="16"/>
                        </w:rPr>
                        <w:t>Asphalt91 (slightly cropped) via Wikimedia Commons under a</w:t>
                      </w:r>
                      <w:hyperlink r:id="rId6" w:history="1">
                        <w:r w:rsidR="006463F1" w:rsidRPr="006463F1">
                          <w:rPr>
                            <w:rStyle w:val="Hyperlink"/>
                            <w:sz w:val="16"/>
                            <w:szCs w:val="16"/>
                          </w:rPr>
                          <w:t xml:space="preserve"> Creative Commons License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4E49">
        <w:rPr>
          <w:noProof/>
        </w:rPr>
        <w:drawing>
          <wp:anchor distT="0" distB="0" distL="114300" distR="114300" simplePos="0" relativeHeight="251664384" behindDoc="0" locked="0" layoutInCell="1" allowOverlap="1" wp14:anchorId="4B16B1F3" wp14:editId="2A59C5A3">
            <wp:simplePos x="0" y="0"/>
            <wp:positionH relativeFrom="column">
              <wp:posOffset>-282575</wp:posOffset>
            </wp:positionH>
            <wp:positionV relativeFrom="paragraph">
              <wp:posOffset>2804160</wp:posOffset>
            </wp:positionV>
            <wp:extent cx="2912745" cy="3261360"/>
            <wp:effectExtent l="0" t="0" r="190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B3C">
        <w:rPr>
          <w:noProof/>
        </w:rPr>
        <w:drawing>
          <wp:anchor distT="0" distB="0" distL="114300" distR="114300" simplePos="0" relativeHeight="251663360" behindDoc="0" locked="0" layoutInCell="1" allowOverlap="1" wp14:anchorId="75DFFAEB" wp14:editId="6D17E936">
            <wp:simplePos x="0" y="0"/>
            <wp:positionH relativeFrom="column">
              <wp:posOffset>-525780</wp:posOffset>
            </wp:positionH>
            <wp:positionV relativeFrom="paragraph">
              <wp:posOffset>-533400</wp:posOffset>
            </wp:positionV>
            <wp:extent cx="1455420" cy="576583"/>
            <wp:effectExtent l="0" t="0" r="0" b="0"/>
            <wp:wrapNone/>
            <wp:docPr id="4" name="Picture 4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33A9">
        <w:br w:type="page"/>
      </w:r>
    </w:p>
    <w:p w14:paraId="4E8CA45A" w14:textId="1BF3EE8B" w:rsidR="000937A2" w:rsidRPr="00715705" w:rsidRDefault="00EA33A9">
      <w:pPr>
        <w:rPr>
          <w:b/>
          <w:bCs/>
        </w:rPr>
      </w:pPr>
      <w:r w:rsidRPr="00715705">
        <w:rPr>
          <w:b/>
          <w:bCs/>
        </w:rPr>
        <w:lastRenderedPageBreak/>
        <w:t>Introduction</w:t>
      </w:r>
    </w:p>
    <w:p w14:paraId="78130623" w14:textId="6EB9C017" w:rsidR="00EA33A9" w:rsidRDefault="00EA33A9">
      <w:r>
        <w:t xml:space="preserve">Gravimetric analysis can be used to determine the nickel content of a </w:t>
      </w:r>
      <w:proofErr w:type="gramStart"/>
      <w:r>
        <w:t>nickel(</w:t>
      </w:r>
      <w:proofErr w:type="gramEnd"/>
      <w:r>
        <w:t xml:space="preserve">II) salt. This can be achieved by reacting the </w:t>
      </w:r>
      <w:proofErr w:type="gramStart"/>
      <w:r>
        <w:t>nickel(</w:t>
      </w:r>
      <w:proofErr w:type="gramEnd"/>
      <w:r>
        <w:t xml:space="preserve">II) ions with dimethylglyoxime (butanedione </w:t>
      </w:r>
      <w:proofErr w:type="spellStart"/>
      <w:r>
        <w:t>dioxime</w:t>
      </w:r>
      <w:proofErr w:type="spellEnd"/>
      <w:r>
        <w:t>) in the presence of a slight excess of ammonia</w:t>
      </w:r>
      <w:r w:rsidR="001B4E3B">
        <w:t xml:space="preserve"> to form an insoluble complex:</w:t>
      </w:r>
    </w:p>
    <w:p w14:paraId="56082D28" w14:textId="5ED2C2C6" w:rsidR="00EA33A9" w:rsidRDefault="002A190F" w:rsidP="002A190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870D8E" wp14:editId="1CFA5AD1">
                <wp:simplePos x="0" y="0"/>
                <wp:positionH relativeFrom="column">
                  <wp:posOffset>3070860</wp:posOffset>
                </wp:positionH>
                <wp:positionV relativeFrom="paragraph">
                  <wp:posOffset>1763395</wp:posOffset>
                </wp:positionV>
                <wp:extent cx="2057400" cy="1404620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7D548" w14:textId="565ED9D1" w:rsidR="002A190F" w:rsidRPr="00327704" w:rsidRDefault="00327704" w:rsidP="002A190F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27704">
                              <w:rPr>
                                <w:i/>
                                <w:iCs/>
                              </w:rPr>
                              <w:t xml:space="preserve">Nickel II </w:t>
                            </w:r>
                            <w:proofErr w:type="spellStart"/>
                            <w:r w:rsidRPr="00327704">
                              <w:rPr>
                                <w:i/>
                                <w:iCs/>
                              </w:rPr>
                              <w:t>dimethylgyloximate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870D8E" id="_x0000_s1027" type="#_x0000_t202" style="position:absolute;left:0;text-align:left;margin-left:241.8pt;margin-top:138.85pt;width:16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w0EAIAAP4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" stroked="f">
                <v:textbox style="mso-fit-shape-to-text:t">
                  <w:txbxContent>
                    <w:p w14:paraId="2907D548" w14:textId="565ED9D1" w:rsidR="002A190F" w:rsidRPr="00327704" w:rsidRDefault="00327704" w:rsidP="002A190F">
                      <w:pPr>
                        <w:rPr>
                          <w:i/>
                          <w:iCs/>
                        </w:rPr>
                      </w:pPr>
                      <w:r w:rsidRPr="00327704">
                        <w:rPr>
                          <w:i/>
                          <w:iCs/>
                        </w:rPr>
                        <w:t xml:space="preserve">Nickel II </w:t>
                      </w:r>
                      <w:proofErr w:type="spellStart"/>
                      <w:r w:rsidRPr="00327704">
                        <w:rPr>
                          <w:i/>
                          <w:iCs/>
                        </w:rPr>
                        <w:t>dimethylgyloximate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4C13C0" wp14:editId="3472011C">
                <wp:simplePos x="0" y="0"/>
                <wp:positionH relativeFrom="column">
                  <wp:posOffset>388620</wp:posOffset>
                </wp:positionH>
                <wp:positionV relativeFrom="paragraph">
                  <wp:posOffset>1793875</wp:posOffset>
                </wp:positionV>
                <wp:extent cx="1386840" cy="1404620"/>
                <wp:effectExtent l="0" t="0" r="381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5B475" w14:textId="60AF1551" w:rsidR="002A190F" w:rsidRPr="00327704" w:rsidRDefault="002A190F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27704">
                              <w:rPr>
                                <w:i/>
                                <w:iCs/>
                              </w:rPr>
                              <w:t>Dimethylglyoxime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4C13C0" id="_x0000_s1028" type="#_x0000_t202" style="position:absolute;left:0;text-align:left;margin-left:30.6pt;margin-top:141.25pt;width:109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" stroked="f">
                <v:textbox style="mso-fit-shape-to-text:t">
                  <w:txbxContent>
                    <w:p w14:paraId="4AD5B475" w14:textId="60AF1551" w:rsidR="002A190F" w:rsidRPr="00327704" w:rsidRDefault="002A190F">
                      <w:pPr>
                        <w:rPr>
                          <w:i/>
                          <w:iCs/>
                        </w:rPr>
                      </w:pPr>
                      <w:r w:rsidRPr="00327704">
                        <w:rPr>
                          <w:i/>
                          <w:iCs/>
                        </w:rPr>
                        <w:t>Dimethylglyoxime</w:t>
                      </w:r>
                    </w:p>
                  </w:txbxContent>
                </v:textbox>
              </v:shape>
            </w:pict>
          </mc:Fallback>
        </mc:AlternateContent>
      </w:r>
      <w:r w:rsidR="00E83EE5">
        <w:rPr>
          <w:noProof/>
        </w:rPr>
        <w:drawing>
          <wp:inline distT="0" distB="0" distL="0" distR="0" wp14:anchorId="780EAEBB" wp14:editId="1527BEB4">
            <wp:extent cx="5105400" cy="1874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3881C" w14:textId="77777777" w:rsidR="00715705" w:rsidRDefault="00715705"/>
    <w:p w14:paraId="03792A6B" w14:textId="2ECE0E9E" w:rsidR="00EA33A9" w:rsidRDefault="00EA33A9">
      <w:r>
        <w:t xml:space="preserve">The complex, </w:t>
      </w:r>
      <w:proofErr w:type="gramStart"/>
      <w:r>
        <w:t>nickel(</w:t>
      </w:r>
      <w:proofErr w:type="gramEnd"/>
      <w:r>
        <w:t xml:space="preserve">II) </w:t>
      </w:r>
      <w:proofErr w:type="spellStart"/>
      <w:r>
        <w:t>dimethylglyoximate</w:t>
      </w:r>
      <w:proofErr w:type="spellEnd"/>
      <w:r>
        <w:t>, is filtered from the reaction mixture, dried and weighed.</w:t>
      </w:r>
    </w:p>
    <w:p w14:paraId="734C0CEE" w14:textId="77777777" w:rsidR="001B4E3B" w:rsidRDefault="001B4E3B"/>
    <w:p w14:paraId="508B2894" w14:textId="42570F7F" w:rsidR="001B4E3B" w:rsidRPr="009340B8" w:rsidRDefault="001B4E3B">
      <w:pPr>
        <w:rPr>
          <w:b/>
          <w:bCs/>
        </w:rPr>
      </w:pPr>
      <w:r w:rsidRPr="009340B8">
        <w:rPr>
          <w:b/>
          <w:bCs/>
        </w:rPr>
        <w:t>Safety</w:t>
      </w:r>
    </w:p>
    <w:p w14:paraId="16D98704" w14:textId="684B7F9C" w:rsidR="002A7C9B" w:rsidRDefault="002A7C9B">
      <w:r>
        <w:t>Dimethyl glyoxime is a flammable solid and the solution in ethanol is highly flammable – keep away from sources of ignition.</w:t>
      </w:r>
    </w:p>
    <w:p w14:paraId="5A77102D" w14:textId="44EB3518" w:rsidR="0095799D" w:rsidRDefault="0095799D">
      <w:r>
        <w:t xml:space="preserve">The solid is toxic if ingested but the 0.1 </w:t>
      </w:r>
      <w:r w:rsidRPr="0095799D">
        <w:t>mol l</w:t>
      </w:r>
      <w:r w:rsidRPr="0095799D">
        <w:rPr>
          <w:vertAlign w:val="superscript"/>
        </w:rPr>
        <w:t>-1</w:t>
      </w:r>
      <w:r>
        <w:t>solution is of low hazard</w:t>
      </w:r>
      <w:r w:rsidR="00833A2F">
        <w:t xml:space="preserve"> other than its flammability</w:t>
      </w:r>
      <w:r>
        <w:t>.</w:t>
      </w:r>
    </w:p>
    <w:p w14:paraId="74E28A0C" w14:textId="62F3E916" w:rsidR="00FD2063" w:rsidRDefault="00FD2063">
      <w:r>
        <w:t xml:space="preserve">Nickel chloride is </w:t>
      </w:r>
      <w:r w:rsidR="00FE39B5">
        <w:t>toxic if inhaled or swallowed</w:t>
      </w:r>
      <w:r w:rsidR="00A61BE8">
        <w:t xml:space="preserve">. It is a carcinogen (if inhaled) and a mutagen and reproductive toxin. It is also </w:t>
      </w:r>
      <w:r w:rsidR="00C523B4">
        <w:t>a</w:t>
      </w:r>
      <w:r w:rsidR="009772AA">
        <w:t xml:space="preserve"> skin irritant and sensitiser</w:t>
      </w:r>
      <w:r w:rsidR="00C523B4">
        <w:t xml:space="preserve"> and a target organ toxin</w:t>
      </w:r>
      <w:r w:rsidR="002E72D7">
        <w:t xml:space="preserve"> of the lungs</w:t>
      </w:r>
      <w:r w:rsidR="00C523B4">
        <w:t>.</w:t>
      </w:r>
      <w:r w:rsidR="00833A2F">
        <w:t xml:space="preserve"> The solution retains most of these hazards.</w:t>
      </w:r>
    </w:p>
    <w:p w14:paraId="7222E0BF" w14:textId="58CD6941" w:rsidR="00C523B4" w:rsidRDefault="00C523B4">
      <w:r>
        <w:t>Wear goggles and gloves when handling it and avoid raising dust.</w:t>
      </w:r>
    </w:p>
    <w:p w14:paraId="6295E07B" w14:textId="048E470D" w:rsidR="00701A2F" w:rsidRDefault="00701A2F">
      <w:r>
        <w:t xml:space="preserve">2 </w:t>
      </w:r>
      <w:r w:rsidRPr="00F54F4C">
        <w:t>mol l</w:t>
      </w:r>
      <w:r w:rsidRPr="00F54F4C">
        <w:rPr>
          <w:vertAlign w:val="superscript"/>
        </w:rPr>
        <w:t>-1</w:t>
      </w:r>
      <w:r w:rsidRPr="00A40A7B">
        <w:rPr>
          <w:sz w:val="28"/>
          <w:szCs w:val="28"/>
        </w:rPr>
        <w:t xml:space="preserve"> </w:t>
      </w:r>
      <w:r>
        <w:t>ammonia causes seri</w:t>
      </w:r>
      <w:r w:rsidR="00F54F4C">
        <w:t>o</w:t>
      </w:r>
      <w:r>
        <w:t>us eye damage</w:t>
      </w:r>
      <w:r w:rsidR="00F54F4C">
        <w:t xml:space="preserve"> and gives off irritating fumes</w:t>
      </w:r>
    </w:p>
    <w:p w14:paraId="0D1EB957" w14:textId="09474E72" w:rsidR="00F54F4C" w:rsidRDefault="00F54F4C">
      <w:r>
        <w:t>Wear goggles and work in a well-ventilated laboratory.</w:t>
      </w:r>
    </w:p>
    <w:p w14:paraId="1E098172" w14:textId="77777777" w:rsidR="001B4E3B" w:rsidRDefault="001B4E3B"/>
    <w:p w14:paraId="199FF94B" w14:textId="671238B2" w:rsidR="00EA33A9" w:rsidRPr="00A07128" w:rsidRDefault="00EA33A9">
      <w:pPr>
        <w:rPr>
          <w:b/>
          <w:bCs/>
        </w:rPr>
      </w:pPr>
      <w:r w:rsidRPr="00A07128">
        <w:rPr>
          <w:b/>
          <w:bCs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33A9" w14:paraId="216EFFC0" w14:textId="77777777" w:rsidTr="00EA33A9">
        <w:tc>
          <w:tcPr>
            <w:tcW w:w="4508" w:type="dxa"/>
          </w:tcPr>
          <w:p w14:paraId="3EC2F323" w14:textId="0AC480BF" w:rsidR="00EA33A9" w:rsidRDefault="005A07D3">
            <w:r>
              <w:t>H</w:t>
            </w:r>
            <w:r w:rsidR="00EA33A9">
              <w:t xml:space="preserve">ydrated </w:t>
            </w:r>
            <w:proofErr w:type="gramStart"/>
            <w:r w:rsidR="00EA33A9">
              <w:t>nickel(</w:t>
            </w:r>
            <w:proofErr w:type="gramEnd"/>
            <w:r w:rsidR="00EA33A9">
              <w:t xml:space="preserve">II) chloride </w:t>
            </w:r>
          </w:p>
        </w:tc>
        <w:tc>
          <w:tcPr>
            <w:tcW w:w="4508" w:type="dxa"/>
          </w:tcPr>
          <w:p w14:paraId="57F65D88" w14:textId="1479AC36" w:rsidR="00EA33A9" w:rsidRDefault="00EA33A9">
            <w:r>
              <w:t xml:space="preserve">Ammonia 2 </w:t>
            </w:r>
            <w:r w:rsidR="002728FA" w:rsidRPr="00311632">
              <w:t>mol l</w:t>
            </w:r>
            <w:r w:rsidR="002728FA" w:rsidRPr="00311632">
              <w:rPr>
                <w:vertAlign w:val="superscript"/>
              </w:rPr>
              <w:t>-1</w:t>
            </w:r>
            <w:r w:rsidR="002728FA">
              <w:t xml:space="preserve"> </w:t>
            </w:r>
            <w:r>
              <w:t xml:space="preserve">   </w:t>
            </w:r>
          </w:p>
        </w:tc>
      </w:tr>
      <w:tr w:rsidR="00EA33A9" w14:paraId="66B3BCAA" w14:textId="77777777" w:rsidTr="00EA33A9">
        <w:tc>
          <w:tcPr>
            <w:tcW w:w="4508" w:type="dxa"/>
          </w:tcPr>
          <w:p w14:paraId="3A563E52" w14:textId="1309FB99" w:rsidR="00EA33A9" w:rsidRDefault="00EA33A9">
            <w:r>
              <w:t xml:space="preserve">Dimethylglyoxime 0.1 </w:t>
            </w:r>
            <w:r w:rsidR="002728FA" w:rsidRPr="00311632">
              <w:t>mol l</w:t>
            </w:r>
            <w:r w:rsidR="002728FA" w:rsidRPr="00311632">
              <w:rPr>
                <w:vertAlign w:val="superscript"/>
              </w:rPr>
              <w:t>-1</w:t>
            </w:r>
            <w:r>
              <w:t xml:space="preserve"> in ethanol</w:t>
            </w:r>
          </w:p>
        </w:tc>
        <w:tc>
          <w:tcPr>
            <w:tcW w:w="4508" w:type="dxa"/>
          </w:tcPr>
          <w:p w14:paraId="19A193E7" w14:textId="34E63379" w:rsidR="00EA33A9" w:rsidRDefault="002728FA">
            <w:r>
              <w:t xml:space="preserve">Hydrochloric acid 2 </w:t>
            </w:r>
            <w:r w:rsidRPr="00311632">
              <w:t>mol l</w:t>
            </w:r>
            <w:r w:rsidRPr="00311632">
              <w:rPr>
                <w:vertAlign w:val="superscript"/>
              </w:rPr>
              <w:t>-1</w:t>
            </w:r>
            <w:r>
              <w:t xml:space="preserve"> </w:t>
            </w:r>
          </w:p>
        </w:tc>
      </w:tr>
      <w:tr w:rsidR="00EA33A9" w14:paraId="32FB9922" w14:textId="77777777" w:rsidTr="00EA33A9">
        <w:tc>
          <w:tcPr>
            <w:tcW w:w="4508" w:type="dxa"/>
          </w:tcPr>
          <w:p w14:paraId="1859A4FF" w14:textId="0AC6962F" w:rsidR="00EA33A9" w:rsidRPr="008D268C" w:rsidRDefault="008D268C">
            <w:r>
              <w:t>Beaker 500 cm</w:t>
            </w:r>
            <w:r w:rsidRPr="008D268C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4508" w:type="dxa"/>
          </w:tcPr>
          <w:p w14:paraId="421B78F1" w14:textId="3F4448DE" w:rsidR="00EA33A9" w:rsidRDefault="008D268C">
            <w:r>
              <w:t>Measuring cylinder(s) 10</w:t>
            </w:r>
            <w:r w:rsidR="00396114">
              <w:t>/100</w:t>
            </w:r>
            <w:r>
              <w:t xml:space="preserve"> cm</w:t>
            </w:r>
            <w:r w:rsidRPr="008D268C">
              <w:rPr>
                <w:vertAlign w:val="superscript"/>
              </w:rPr>
              <w:t>3</w:t>
            </w:r>
            <w:r>
              <w:t xml:space="preserve">  </w:t>
            </w:r>
          </w:p>
        </w:tc>
      </w:tr>
      <w:tr w:rsidR="00EA33A9" w14:paraId="6949E2FC" w14:textId="77777777" w:rsidTr="00EA33A9">
        <w:tc>
          <w:tcPr>
            <w:tcW w:w="4508" w:type="dxa"/>
          </w:tcPr>
          <w:p w14:paraId="792E702F" w14:textId="24FB112D" w:rsidR="00EA33A9" w:rsidRDefault="008D268C">
            <w:r>
              <w:t>Buchner funnel &amp; flask</w:t>
            </w:r>
          </w:p>
        </w:tc>
        <w:tc>
          <w:tcPr>
            <w:tcW w:w="4508" w:type="dxa"/>
          </w:tcPr>
          <w:p w14:paraId="0592BC2E" w14:textId="743A0396" w:rsidR="00EA33A9" w:rsidRDefault="008D268C">
            <w:r>
              <w:t>Pump for Buchner funnel</w:t>
            </w:r>
          </w:p>
        </w:tc>
      </w:tr>
      <w:tr w:rsidR="00396114" w14:paraId="0420F482" w14:textId="77777777" w:rsidTr="00EA33A9">
        <w:tc>
          <w:tcPr>
            <w:tcW w:w="4508" w:type="dxa"/>
          </w:tcPr>
          <w:p w14:paraId="7CF0EB7F" w14:textId="1F88786B" w:rsidR="00396114" w:rsidRDefault="00396114">
            <w:r>
              <w:t xml:space="preserve">Access to balance </w:t>
            </w:r>
            <w:r w:rsidR="00A81542">
              <w:t>(</w:t>
            </w:r>
            <w:r>
              <w:t>0.001g</w:t>
            </w:r>
            <w:r w:rsidR="00A81542">
              <w:t xml:space="preserve"> if possible)</w:t>
            </w:r>
          </w:p>
        </w:tc>
        <w:tc>
          <w:tcPr>
            <w:tcW w:w="4508" w:type="dxa"/>
          </w:tcPr>
          <w:p w14:paraId="418771AE" w14:textId="04E4080A" w:rsidR="00396114" w:rsidRDefault="00396114">
            <w:r>
              <w:t>Weighing bottle</w:t>
            </w:r>
          </w:p>
        </w:tc>
      </w:tr>
      <w:tr w:rsidR="00396114" w14:paraId="0C03D37D" w14:textId="77777777" w:rsidTr="00EA33A9">
        <w:tc>
          <w:tcPr>
            <w:tcW w:w="4508" w:type="dxa"/>
          </w:tcPr>
          <w:p w14:paraId="3C2ACDAF" w14:textId="611413C7" w:rsidR="00396114" w:rsidRDefault="00396114">
            <w:r>
              <w:t>Access to oven</w:t>
            </w:r>
          </w:p>
        </w:tc>
        <w:tc>
          <w:tcPr>
            <w:tcW w:w="4508" w:type="dxa"/>
          </w:tcPr>
          <w:p w14:paraId="512177F5" w14:textId="2254643A" w:rsidR="00396114" w:rsidRDefault="00396114">
            <w:proofErr w:type="spellStart"/>
            <w:r>
              <w:t>Dessicator</w:t>
            </w:r>
            <w:proofErr w:type="spellEnd"/>
          </w:p>
        </w:tc>
      </w:tr>
      <w:tr w:rsidR="00396114" w14:paraId="2A98853F" w14:textId="77777777" w:rsidTr="00EA33A9">
        <w:tc>
          <w:tcPr>
            <w:tcW w:w="4508" w:type="dxa"/>
          </w:tcPr>
          <w:p w14:paraId="6D73B076" w14:textId="04725DB9" w:rsidR="00396114" w:rsidRDefault="00A07128">
            <w:r>
              <w:t>Hot plate</w:t>
            </w:r>
          </w:p>
        </w:tc>
        <w:tc>
          <w:tcPr>
            <w:tcW w:w="4508" w:type="dxa"/>
          </w:tcPr>
          <w:p w14:paraId="0A459602" w14:textId="4C301B56" w:rsidR="00396114" w:rsidRDefault="00A07128">
            <w:r>
              <w:t>thermometer</w:t>
            </w:r>
          </w:p>
        </w:tc>
      </w:tr>
      <w:tr w:rsidR="00A07128" w14:paraId="7981DA3D" w14:textId="77777777" w:rsidTr="00EA33A9">
        <w:tc>
          <w:tcPr>
            <w:tcW w:w="4508" w:type="dxa"/>
          </w:tcPr>
          <w:p w14:paraId="331D45C5" w14:textId="241E5527" w:rsidR="00A07128" w:rsidRDefault="00A07128">
            <w:r>
              <w:t>Stirring rod</w:t>
            </w:r>
          </w:p>
        </w:tc>
        <w:tc>
          <w:tcPr>
            <w:tcW w:w="4508" w:type="dxa"/>
          </w:tcPr>
          <w:p w14:paraId="050A5C41" w14:textId="7EF04268" w:rsidR="00A07128" w:rsidRDefault="00A07128">
            <w:r>
              <w:t>Pasteur pipette</w:t>
            </w:r>
          </w:p>
        </w:tc>
      </w:tr>
    </w:tbl>
    <w:p w14:paraId="41160311" w14:textId="04808D6E" w:rsidR="00EA33A9" w:rsidRDefault="00EA33A9"/>
    <w:p w14:paraId="312BDA38" w14:textId="77777777" w:rsidR="00F54F4C" w:rsidRDefault="00F54F4C">
      <w:pPr>
        <w:rPr>
          <w:b/>
          <w:bCs/>
        </w:rPr>
      </w:pPr>
    </w:p>
    <w:p w14:paraId="52BE57CD" w14:textId="614863DC" w:rsidR="00EA33A9" w:rsidRPr="001B4E3B" w:rsidRDefault="00A07128">
      <w:pPr>
        <w:rPr>
          <w:b/>
          <w:bCs/>
        </w:rPr>
      </w:pPr>
      <w:r w:rsidRPr="001B4E3B">
        <w:rPr>
          <w:b/>
          <w:bCs/>
        </w:rPr>
        <w:lastRenderedPageBreak/>
        <w:t>To do</w:t>
      </w:r>
    </w:p>
    <w:p w14:paraId="38357211" w14:textId="1A6AE5E3" w:rsidR="00A07128" w:rsidRDefault="00A07128" w:rsidP="005446AF">
      <w:pPr>
        <w:pStyle w:val="ListParagraph"/>
        <w:numPr>
          <w:ilvl w:val="0"/>
          <w:numId w:val="1"/>
        </w:numPr>
        <w:ind w:left="426" w:hanging="357"/>
        <w:contextualSpacing w:val="0"/>
      </w:pPr>
      <w:r>
        <w:t xml:space="preserve">Transfer approximately 0.5 g of hydrated </w:t>
      </w:r>
      <w:proofErr w:type="gramStart"/>
      <w:r>
        <w:t>nickel(</w:t>
      </w:r>
      <w:proofErr w:type="gramEnd"/>
      <w:r>
        <w:t>II) chloride to a weighing bottle and weigh the bottle and contents.</w:t>
      </w:r>
    </w:p>
    <w:p w14:paraId="5DAD9DD7" w14:textId="5E94E853" w:rsidR="00A07128" w:rsidRDefault="00A07128" w:rsidP="005446AF">
      <w:pPr>
        <w:pStyle w:val="ListParagraph"/>
        <w:numPr>
          <w:ilvl w:val="0"/>
          <w:numId w:val="1"/>
        </w:numPr>
        <w:ind w:left="426" w:hanging="357"/>
        <w:contextualSpacing w:val="0"/>
      </w:pPr>
      <w:r>
        <w:t>Add about 20 cm</w:t>
      </w:r>
      <w:r w:rsidRPr="005446AF">
        <w:rPr>
          <w:vertAlign w:val="superscript"/>
        </w:rPr>
        <w:t>3</w:t>
      </w:r>
      <w:r>
        <w:t xml:space="preserve"> of deionised water to a 500 cm</w:t>
      </w:r>
      <w:r w:rsidRPr="005446AF">
        <w:rPr>
          <w:vertAlign w:val="superscript"/>
        </w:rPr>
        <w:t>3</w:t>
      </w:r>
      <w:r>
        <w:t xml:space="preserve"> beaker and transfer the bulk of the nickel salt to the water.</w:t>
      </w:r>
    </w:p>
    <w:p w14:paraId="688D2462" w14:textId="524D1E42" w:rsidR="00A07128" w:rsidRDefault="00A07128" w:rsidP="005446AF">
      <w:pPr>
        <w:pStyle w:val="ListParagraph"/>
        <w:numPr>
          <w:ilvl w:val="0"/>
          <w:numId w:val="1"/>
        </w:numPr>
        <w:ind w:left="426" w:hanging="357"/>
        <w:contextualSpacing w:val="0"/>
      </w:pPr>
      <w:r>
        <w:t>Reweigh the bottle with any remaining salt.</w:t>
      </w:r>
    </w:p>
    <w:p w14:paraId="4060DB8F" w14:textId="77777777" w:rsidR="000B7AD4" w:rsidRDefault="00A07128" w:rsidP="005446AF">
      <w:pPr>
        <w:pStyle w:val="ListParagraph"/>
        <w:numPr>
          <w:ilvl w:val="0"/>
          <w:numId w:val="1"/>
        </w:numPr>
        <w:ind w:left="426" w:hanging="357"/>
        <w:contextualSpacing w:val="0"/>
      </w:pPr>
      <w:r>
        <w:t>Stir the mixture until the solid dissolves and add about 20 cm</w:t>
      </w:r>
      <w:r w:rsidRPr="005446AF">
        <w:rPr>
          <w:vertAlign w:val="superscript"/>
        </w:rPr>
        <w:t>3</w:t>
      </w:r>
      <w:r>
        <w:t xml:space="preserve"> of 2 </w:t>
      </w:r>
      <w:r w:rsidRPr="00311632">
        <w:t>mol l</w:t>
      </w:r>
      <w:r w:rsidRPr="005446AF">
        <w:rPr>
          <w:vertAlign w:val="superscript"/>
        </w:rPr>
        <w:t>-1</w:t>
      </w:r>
      <w:r>
        <w:t xml:space="preserve"> hydrochloric acid. </w:t>
      </w:r>
    </w:p>
    <w:p w14:paraId="2C988D42" w14:textId="7BDBF55D" w:rsidR="00A07128" w:rsidRDefault="00A07128" w:rsidP="005446AF">
      <w:pPr>
        <w:pStyle w:val="ListParagraph"/>
        <w:numPr>
          <w:ilvl w:val="0"/>
          <w:numId w:val="1"/>
        </w:numPr>
        <w:ind w:left="426" w:hanging="357"/>
        <w:contextualSpacing w:val="0"/>
      </w:pPr>
      <w:r>
        <w:t>Dilute the mixture with deionised water to about 200 cm</w:t>
      </w:r>
      <w:r w:rsidRPr="005446AF">
        <w:rPr>
          <w:vertAlign w:val="superscript"/>
        </w:rPr>
        <w:t>3</w:t>
      </w:r>
      <w:r>
        <w:t>.</w:t>
      </w:r>
    </w:p>
    <w:p w14:paraId="20868F0B" w14:textId="0A20A090" w:rsidR="00A07128" w:rsidRDefault="00A07128" w:rsidP="005446AF">
      <w:pPr>
        <w:pStyle w:val="ListParagraph"/>
        <w:numPr>
          <w:ilvl w:val="0"/>
          <w:numId w:val="1"/>
        </w:numPr>
        <w:ind w:left="426" w:hanging="357"/>
        <w:contextualSpacing w:val="0"/>
      </w:pPr>
      <w:r>
        <w:t>Heat the solution to 70–80°C on a hot plate and add approximately 50 cm</w:t>
      </w:r>
      <w:r w:rsidRPr="005446AF">
        <w:rPr>
          <w:vertAlign w:val="superscript"/>
        </w:rPr>
        <w:t>3</w:t>
      </w:r>
      <w:r>
        <w:t xml:space="preserve"> of 0.1 </w:t>
      </w:r>
      <w:r w:rsidRPr="00311632">
        <w:t>mol l</w:t>
      </w:r>
      <w:r w:rsidRPr="005446AF">
        <w:rPr>
          <w:vertAlign w:val="superscript"/>
        </w:rPr>
        <w:t>-</w:t>
      </w:r>
      <w:proofErr w:type="gramStart"/>
      <w:r w:rsidRPr="005446AF">
        <w:rPr>
          <w:vertAlign w:val="superscript"/>
        </w:rPr>
        <w:t>1</w:t>
      </w:r>
      <w:r>
        <w:t xml:space="preserve">  dimethylglyoxime</w:t>
      </w:r>
      <w:proofErr w:type="gramEnd"/>
      <w:r>
        <w:t xml:space="preserve"> in ethanol.</w:t>
      </w:r>
    </w:p>
    <w:p w14:paraId="7EF81FA8" w14:textId="21E11974" w:rsidR="000B7AD4" w:rsidRDefault="00D77313" w:rsidP="005446AF">
      <w:pPr>
        <w:pStyle w:val="ListParagraph"/>
        <w:numPr>
          <w:ilvl w:val="0"/>
          <w:numId w:val="1"/>
        </w:numPr>
        <w:ind w:left="426" w:hanging="357"/>
        <w:contextualSpacing w:val="0"/>
      </w:pPr>
      <w:r>
        <w:t xml:space="preserve">Add 2 </w:t>
      </w:r>
      <w:r w:rsidRPr="00426C05">
        <w:t xml:space="preserve">mol </w:t>
      </w:r>
      <w:r w:rsidR="00426C05" w:rsidRPr="00426C05">
        <w:t>l</w:t>
      </w:r>
      <w:r w:rsidR="00426C05" w:rsidRPr="00426C05">
        <w:rPr>
          <w:vertAlign w:val="superscript"/>
        </w:rPr>
        <w:t>-1</w:t>
      </w:r>
      <w:r>
        <w:t xml:space="preserve"> ammonia solution dropwise and with constant stirring until a permanent red precipitate is obtained. Add a further 5 cm</w:t>
      </w:r>
      <w:r w:rsidRPr="005446AF">
        <w:rPr>
          <w:vertAlign w:val="superscript"/>
        </w:rPr>
        <w:t>3</w:t>
      </w:r>
      <w:r>
        <w:t xml:space="preserve"> of the ammonia solution to provide a slight excess. </w:t>
      </w:r>
    </w:p>
    <w:p w14:paraId="17F26CF8" w14:textId="5ED3D0A4" w:rsidR="00D77313" w:rsidRPr="005E4A15" w:rsidRDefault="00D77313" w:rsidP="000B7AD4">
      <w:pPr>
        <w:pStyle w:val="ListParagraph"/>
        <w:ind w:left="426"/>
        <w:contextualSpacing w:val="0"/>
        <w:rPr>
          <w:i/>
          <w:iCs/>
        </w:rPr>
      </w:pPr>
      <w:r w:rsidRPr="005E4A15">
        <w:rPr>
          <w:i/>
          <w:iCs/>
        </w:rPr>
        <w:t>In all, you should have added about 30 cm</w:t>
      </w:r>
      <w:r w:rsidRPr="005E4A15">
        <w:rPr>
          <w:i/>
          <w:iCs/>
          <w:vertAlign w:val="superscript"/>
        </w:rPr>
        <w:t>3</w:t>
      </w:r>
      <w:r w:rsidRPr="005E4A15">
        <w:rPr>
          <w:i/>
          <w:iCs/>
        </w:rPr>
        <w:t xml:space="preserve"> of ammonia solution.</w:t>
      </w:r>
    </w:p>
    <w:p w14:paraId="4A0B477A" w14:textId="77777777" w:rsidR="005E4A15" w:rsidRDefault="00D77313" w:rsidP="000B7AD4">
      <w:pPr>
        <w:pStyle w:val="ListParagraph"/>
        <w:numPr>
          <w:ilvl w:val="0"/>
          <w:numId w:val="1"/>
        </w:numPr>
        <w:ind w:left="426" w:hanging="357"/>
        <w:contextualSpacing w:val="0"/>
      </w:pPr>
      <w:r>
        <w:t>Heat the beaker and contents on a steam bath for about 30 minutes</w:t>
      </w:r>
    </w:p>
    <w:p w14:paraId="37123DB5" w14:textId="18BA5DDF" w:rsidR="00D77313" w:rsidRPr="00B768BE" w:rsidRDefault="005E4A15" w:rsidP="005E4A15">
      <w:pPr>
        <w:pStyle w:val="ListParagraph"/>
        <w:ind w:left="426"/>
        <w:contextualSpacing w:val="0"/>
        <w:rPr>
          <w:i/>
          <w:iCs/>
        </w:rPr>
      </w:pPr>
      <w:r w:rsidRPr="00B768BE">
        <w:rPr>
          <w:i/>
          <w:iCs/>
        </w:rPr>
        <w:t>W</w:t>
      </w:r>
      <w:r w:rsidR="00D77313" w:rsidRPr="00B768BE">
        <w:rPr>
          <w:i/>
          <w:iCs/>
        </w:rPr>
        <w:t xml:space="preserve">hen the precipitate has settled test the clear liquid for complete precipitation by adding a few drops of the dimethylglyoxime and ammonia solutions. If more red precipitate appears then add about 5 </w:t>
      </w:r>
      <w:r w:rsidRPr="00B768BE">
        <w:rPr>
          <w:i/>
          <w:iCs/>
        </w:rPr>
        <w:t>cm</w:t>
      </w:r>
      <w:r w:rsidRPr="00B768BE">
        <w:rPr>
          <w:i/>
          <w:iCs/>
          <w:vertAlign w:val="superscript"/>
        </w:rPr>
        <w:t>3</w:t>
      </w:r>
      <w:r w:rsidRPr="00B768BE">
        <w:rPr>
          <w:i/>
          <w:iCs/>
        </w:rPr>
        <w:t xml:space="preserve"> </w:t>
      </w:r>
      <w:r w:rsidR="00D77313" w:rsidRPr="00B768BE">
        <w:rPr>
          <w:i/>
          <w:iCs/>
        </w:rPr>
        <w:t xml:space="preserve">of 0.1 mol l-1 dimethylglyoxime solution followed by about 3 </w:t>
      </w:r>
      <w:r w:rsidRPr="00B768BE">
        <w:rPr>
          <w:i/>
          <w:iCs/>
        </w:rPr>
        <w:t>cm</w:t>
      </w:r>
      <w:r w:rsidRPr="00B768BE">
        <w:rPr>
          <w:i/>
          <w:iCs/>
          <w:vertAlign w:val="superscript"/>
        </w:rPr>
        <w:t>3</w:t>
      </w:r>
      <w:r w:rsidRPr="00B768BE">
        <w:rPr>
          <w:i/>
          <w:iCs/>
        </w:rPr>
        <w:t xml:space="preserve"> </w:t>
      </w:r>
      <w:r w:rsidR="00D77313" w:rsidRPr="00B768BE">
        <w:rPr>
          <w:i/>
          <w:iCs/>
        </w:rPr>
        <w:t xml:space="preserve">of 2 mol </w:t>
      </w:r>
      <w:r w:rsidRPr="00B768BE">
        <w:rPr>
          <w:i/>
          <w:iCs/>
        </w:rPr>
        <w:t>l</w:t>
      </w:r>
      <w:r w:rsidRPr="00B768BE">
        <w:rPr>
          <w:i/>
          <w:iCs/>
          <w:vertAlign w:val="superscript"/>
        </w:rPr>
        <w:t>-1</w:t>
      </w:r>
      <w:r w:rsidRPr="00B768BE">
        <w:rPr>
          <w:i/>
          <w:iCs/>
        </w:rPr>
        <w:t xml:space="preserve"> </w:t>
      </w:r>
      <w:r w:rsidR="00D77313" w:rsidRPr="00B768BE">
        <w:rPr>
          <w:i/>
          <w:iCs/>
        </w:rPr>
        <w:t>ammonia.</w:t>
      </w:r>
    </w:p>
    <w:p w14:paraId="03B455D5" w14:textId="48027736" w:rsidR="00B768BE" w:rsidRPr="00B768BE" w:rsidRDefault="00B768BE" w:rsidP="005E4A15">
      <w:pPr>
        <w:pStyle w:val="ListParagraph"/>
        <w:ind w:left="426"/>
        <w:contextualSpacing w:val="0"/>
        <w:rPr>
          <w:i/>
          <w:iCs/>
        </w:rPr>
      </w:pPr>
      <w:r w:rsidRPr="00B768BE">
        <w:rPr>
          <w:i/>
          <w:iCs/>
        </w:rPr>
        <w:t>If no more precipitate appears</w:t>
      </w:r>
      <w:r w:rsidR="00F562AA">
        <w:rPr>
          <w:i/>
          <w:iCs/>
        </w:rPr>
        <w:t xml:space="preserve"> the reaction has finished</w:t>
      </w:r>
      <w:r w:rsidRPr="00B768BE">
        <w:rPr>
          <w:i/>
          <w:iCs/>
        </w:rPr>
        <w:t xml:space="preserve"> . . .</w:t>
      </w:r>
    </w:p>
    <w:p w14:paraId="1C9B6E2E" w14:textId="3B3495A7" w:rsidR="00D77313" w:rsidRDefault="00D77313" w:rsidP="000B7AD4">
      <w:pPr>
        <w:pStyle w:val="ListParagraph"/>
        <w:numPr>
          <w:ilvl w:val="0"/>
          <w:numId w:val="1"/>
        </w:numPr>
        <w:ind w:left="426" w:hanging="357"/>
        <w:contextualSpacing w:val="0"/>
      </w:pPr>
      <w:r>
        <w:t>Remove the beaker from the steam bath and allow it to cool to room temperature.</w:t>
      </w:r>
    </w:p>
    <w:p w14:paraId="25C48DC9" w14:textId="2E19C35F" w:rsidR="00D77313" w:rsidRDefault="00D77313" w:rsidP="000B7AD4">
      <w:pPr>
        <w:pStyle w:val="ListParagraph"/>
        <w:numPr>
          <w:ilvl w:val="0"/>
          <w:numId w:val="1"/>
        </w:numPr>
        <w:ind w:left="426" w:hanging="357"/>
        <w:contextualSpacing w:val="0"/>
      </w:pPr>
      <w:r>
        <w:t xml:space="preserve">Dry </w:t>
      </w:r>
      <w:r w:rsidR="009A14BB">
        <w:t>and weigh a filter paper to fit in the Buchner funnel</w:t>
      </w:r>
    </w:p>
    <w:p w14:paraId="4CB58880" w14:textId="49D4F3CA" w:rsidR="00D77313" w:rsidRDefault="00D77313" w:rsidP="000B7AD4">
      <w:pPr>
        <w:pStyle w:val="ListParagraph"/>
        <w:numPr>
          <w:ilvl w:val="0"/>
          <w:numId w:val="1"/>
        </w:numPr>
        <w:ind w:left="426" w:hanging="357"/>
        <w:contextualSpacing w:val="0"/>
      </w:pPr>
      <w:r>
        <w:t xml:space="preserve">Filter off the precipitate </w:t>
      </w:r>
      <w:r w:rsidR="007F52F3">
        <w:t xml:space="preserve">by vacuum filtration </w:t>
      </w:r>
      <w:r>
        <w:t>and wash the precipitate with a several portions of deionised water.</w:t>
      </w:r>
    </w:p>
    <w:p w14:paraId="6EE52AE3" w14:textId="44FEE0D4" w:rsidR="00D77313" w:rsidRDefault="00D77313" w:rsidP="000B7AD4">
      <w:pPr>
        <w:pStyle w:val="ListParagraph"/>
        <w:numPr>
          <w:ilvl w:val="0"/>
          <w:numId w:val="1"/>
        </w:numPr>
        <w:ind w:left="426" w:hanging="357"/>
        <w:contextualSpacing w:val="0"/>
      </w:pPr>
      <w:r>
        <w:t xml:space="preserve">Dry the </w:t>
      </w:r>
      <w:r w:rsidR="007F52F3">
        <w:t>filter paper</w:t>
      </w:r>
      <w:r>
        <w:t xml:space="preserve"> and precipitate in the oven at 120°C for about 1 hour and then transfer to a desiccator.</w:t>
      </w:r>
    </w:p>
    <w:p w14:paraId="0BDA35DB" w14:textId="231E0F2A" w:rsidR="00D77313" w:rsidRDefault="00D77313" w:rsidP="000B7AD4">
      <w:pPr>
        <w:pStyle w:val="ListParagraph"/>
        <w:numPr>
          <w:ilvl w:val="0"/>
          <w:numId w:val="1"/>
        </w:numPr>
        <w:ind w:left="426" w:hanging="357"/>
        <w:contextualSpacing w:val="0"/>
      </w:pPr>
      <w:r>
        <w:t xml:space="preserve">Once </w:t>
      </w:r>
      <w:r w:rsidR="007F52F3">
        <w:t>it has</w:t>
      </w:r>
      <w:r>
        <w:t xml:space="preserve"> cooled to room temperature, reweig</w:t>
      </w:r>
      <w:r w:rsidR="007F52F3">
        <w:t>h</w:t>
      </w:r>
      <w:r>
        <w:t>.</w:t>
      </w:r>
    </w:p>
    <w:p w14:paraId="25F7A9A9" w14:textId="58F0826B" w:rsidR="00D77313" w:rsidRDefault="00D77313" w:rsidP="000B7AD4">
      <w:pPr>
        <w:pStyle w:val="ListParagraph"/>
        <w:numPr>
          <w:ilvl w:val="0"/>
          <w:numId w:val="1"/>
        </w:numPr>
        <w:ind w:left="426" w:hanging="357"/>
        <w:contextualSpacing w:val="0"/>
      </w:pPr>
      <w:r>
        <w:t xml:space="preserve">Calculate the percentage by mass of nickel in the sample of the hydrated </w:t>
      </w:r>
      <w:proofErr w:type="gramStart"/>
      <w:r>
        <w:t>nickel(</w:t>
      </w:r>
      <w:proofErr w:type="gramEnd"/>
      <w:r>
        <w:t>II) chloride.</w:t>
      </w:r>
    </w:p>
    <w:p w14:paraId="1A72834D" w14:textId="2F2BEE33" w:rsidR="00D77313" w:rsidRDefault="00D77313" w:rsidP="000B7AD4">
      <w:pPr>
        <w:pStyle w:val="ListParagraph"/>
        <w:numPr>
          <w:ilvl w:val="0"/>
          <w:numId w:val="1"/>
        </w:numPr>
        <w:ind w:left="426" w:hanging="357"/>
        <w:contextualSpacing w:val="0"/>
      </w:pPr>
      <w:r>
        <w:t xml:space="preserve">Compare this experimental value with the calculated theoretical percentage by mass of nickel. </w:t>
      </w:r>
    </w:p>
    <w:p w14:paraId="767140AC" w14:textId="77777777" w:rsidR="00703BD0" w:rsidRDefault="00703BD0" w:rsidP="00703BD0"/>
    <w:p w14:paraId="4E229B72" w14:textId="13567272" w:rsidR="00703BD0" w:rsidRPr="00703BD0" w:rsidRDefault="0018320E" w:rsidP="00703BD0">
      <w:pPr>
        <w:rPr>
          <w:i/>
          <w:iCs/>
        </w:rPr>
      </w:pPr>
      <w:r w:rsidRPr="00703BD0">
        <w:rPr>
          <w:i/>
          <w:iCs/>
        </w:rPr>
        <w:t>If you want to be extra accurate</w:t>
      </w:r>
      <w:r w:rsidR="001E2D29" w:rsidRPr="00703BD0">
        <w:rPr>
          <w:i/>
          <w:iCs/>
        </w:rPr>
        <w:t xml:space="preserve"> (and have the apparatus)</w:t>
      </w:r>
      <w:r w:rsidRPr="00703BD0">
        <w:rPr>
          <w:i/>
          <w:iCs/>
        </w:rPr>
        <w:t>,</w:t>
      </w:r>
      <w:r w:rsidR="000C3B20" w:rsidRPr="00703BD0">
        <w:rPr>
          <w:i/>
          <w:iCs/>
        </w:rPr>
        <w:t xml:space="preserve"> you can use a sintered glass crucible </w:t>
      </w:r>
      <w:r w:rsidR="001E2D29" w:rsidRPr="00703BD0">
        <w:rPr>
          <w:i/>
          <w:iCs/>
        </w:rPr>
        <w:t>for filtering</w:t>
      </w:r>
      <w:r w:rsidRPr="00703BD0">
        <w:rPr>
          <w:i/>
          <w:iCs/>
        </w:rPr>
        <w:t xml:space="preserve"> the</w:t>
      </w:r>
      <w:r w:rsidR="001E2D29" w:rsidRPr="00703BD0">
        <w:rPr>
          <w:i/>
          <w:iCs/>
        </w:rPr>
        <w:t xml:space="preserve"> mixture.</w:t>
      </w:r>
    </w:p>
    <w:p w14:paraId="07C5D7C3" w14:textId="7386BEE6" w:rsidR="0018320E" w:rsidRPr="00703BD0" w:rsidRDefault="00703BD0" w:rsidP="00703BD0">
      <w:pPr>
        <w:rPr>
          <w:i/>
          <w:iCs/>
        </w:rPr>
      </w:pPr>
      <w:r w:rsidRPr="00703BD0">
        <w:rPr>
          <w:i/>
          <w:iCs/>
        </w:rPr>
        <w:t>Once it has dried, h</w:t>
      </w:r>
      <w:r w:rsidR="0018320E" w:rsidRPr="00703BD0">
        <w:rPr>
          <w:i/>
          <w:iCs/>
        </w:rPr>
        <w:t xml:space="preserve">eat the crucible and contents to constant mass, </w:t>
      </w:r>
      <w:proofErr w:type="gramStart"/>
      <w:r w:rsidR="0018320E" w:rsidRPr="00703BD0">
        <w:rPr>
          <w:i/>
          <w:iCs/>
        </w:rPr>
        <w:t>i.e.</w:t>
      </w:r>
      <w:proofErr w:type="gramEnd"/>
      <w:r w:rsidR="0018320E" w:rsidRPr="00703BD0">
        <w:rPr>
          <w:i/>
          <w:iCs/>
        </w:rPr>
        <w:t xml:space="preserve"> reheat for about 15 minutes in the oven at 120°C, cool in the desiccator and reweigh until two successive readings are within 0.002 g of each other or within 0.01 g of each other if the balance is only accurate to 0.01 g.</w:t>
      </w:r>
    </w:p>
    <w:p w14:paraId="5E26639D" w14:textId="1100EFE1" w:rsidR="00935521" w:rsidRPr="00025341" w:rsidRDefault="00DB70B1" w:rsidP="00D77313">
      <w:pPr>
        <w:rPr>
          <w:b/>
          <w:bCs/>
        </w:rPr>
      </w:pPr>
      <w:r w:rsidRPr="00025341">
        <w:rPr>
          <w:b/>
          <w:bCs/>
        </w:rPr>
        <w:lastRenderedPageBreak/>
        <w:t>What is happening</w:t>
      </w:r>
      <w:r w:rsidR="00025341">
        <w:rPr>
          <w:b/>
          <w:bCs/>
        </w:rPr>
        <w:t>?</w:t>
      </w:r>
    </w:p>
    <w:p w14:paraId="77CFFCCD" w14:textId="4E9FB8F0" w:rsidR="00025341" w:rsidRDefault="00025341" w:rsidP="00DB70B1">
      <w:r w:rsidRPr="00025341">
        <w:rPr>
          <w:noProof/>
        </w:rPr>
        <w:drawing>
          <wp:inline distT="0" distB="0" distL="0" distR="0" wp14:anchorId="60869D7C" wp14:editId="39037613">
            <wp:extent cx="5731510" cy="2149475"/>
            <wp:effectExtent l="0" t="0" r="2540" b="3175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2A419" w14:textId="71D9A78C" w:rsidR="00DB70B1" w:rsidRDefault="00DB70B1" w:rsidP="00DB70B1">
      <w:r>
        <w:t xml:space="preserve">The above reaction occurs due to donation of the electron pairs on the four nitrogen atoms, not by electrons on the oxygen atoms. </w:t>
      </w:r>
    </w:p>
    <w:p w14:paraId="3066C733" w14:textId="13604F98" w:rsidR="00DB70B1" w:rsidRDefault="00DB70B1" w:rsidP="00DB70B1">
      <w:r>
        <w:t>The reaction is performed in an alkaline solution, due to the ammonia,</w:t>
      </w:r>
      <w:r w:rsidR="003C4E6B">
        <w:t xml:space="preserve"> </w:t>
      </w:r>
      <w:r>
        <w:t>to prevent the pH of the solution from falling too low.</w:t>
      </w:r>
    </w:p>
    <w:p w14:paraId="313ED117" w14:textId="2E952958" w:rsidR="003C4E6B" w:rsidRDefault="00DB70B1" w:rsidP="00DB70B1">
      <w:r>
        <w:t>If the pH drops below about pH 5 the</w:t>
      </w:r>
      <w:r w:rsidR="003C4E6B">
        <w:t xml:space="preserve"> </w:t>
      </w:r>
      <w:r>
        <w:t>equilibrium of the above reaction favo</w:t>
      </w:r>
      <w:r w:rsidR="003C4E6B">
        <w:t>u</w:t>
      </w:r>
      <w:r>
        <w:t xml:space="preserve">rs the formation of the nickel (Il) ion, causing the dissolution of </w:t>
      </w:r>
      <w:r w:rsidR="003C4E6B">
        <w:t>complex.</w:t>
      </w:r>
    </w:p>
    <w:p w14:paraId="2B5FF182" w14:textId="3DA834B2" w:rsidR="004C1D19" w:rsidRDefault="004C1D19" w:rsidP="009338AD">
      <w:pPr>
        <w:spacing w:line="276" w:lineRule="auto"/>
      </w:pPr>
    </w:p>
    <w:sectPr w:rsidR="004C1D19" w:rsidSect="007C10C3">
      <w:pgSz w:w="11906" w:h="16838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530D7"/>
    <w:multiLevelType w:val="hybridMultilevel"/>
    <w:tmpl w:val="BF98E44A"/>
    <w:lvl w:ilvl="0" w:tplc="0809000F">
      <w:start w:val="1"/>
      <w:numFmt w:val="decimal"/>
      <w:lvlText w:val="%1."/>
      <w:lvlJc w:val="left"/>
      <w:pPr>
        <w:ind w:left="6" w:hanging="360"/>
      </w:p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34814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A9"/>
    <w:rsid w:val="00025341"/>
    <w:rsid w:val="000937A2"/>
    <w:rsid w:val="000B4353"/>
    <w:rsid w:val="000B7AD4"/>
    <w:rsid w:val="000C3B20"/>
    <w:rsid w:val="000F6785"/>
    <w:rsid w:val="0018320E"/>
    <w:rsid w:val="001B4E3B"/>
    <w:rsid w:val="001E2D29"/>
    <w:rsid w:val="001F21CA"/>
    <w:rsid w:val="002728FA"/>
    <w:rsid w:val="002A190F"/>
    <w:rsid w:val="002A7C9B"/>
    <w:rsid w:val="002E72D7"/>
    <w:rsid w:val="00327704"/>
    <w:rsid w:val="00396114"/>
    <w:rsid w:val="003C4E6B"/>
    <w:rsid w:val="0041514F"/>
    <w:rsid w:val="00426C05"/>
    <w:rsid w:val="004C1D19"/>
    <w:rsid w:val="00517FBA"/>
    <w:rsid w:val="005446AF"/>
    <w:rsid w:val="005508AA"/>
    <w:rsid w:val="005A07D3"/>
    <w:rsid w:val="005E4A15"/>
    <w:rsid w:val="006463F1"/>
    <w:rsid w:val="006F0B3C"/>
    <w:rsid w:val="00701A2F"/>
    <w:rsid w:val="00703BD0"/>
    <w:rsid w:val="00715705"/>
    <w:rsid w:val="007A4E49"/>
    <w:rsid w:val="007C10C3"/>
    <w:rsid w:val="007F52F3"/>
    <w:rsid w:val="007F78D5"/>
    <w:rsid w:val="00833A2F"/>
    <w:rsid w:val="00881902"/>
    <w:rsid w:val="008D268C"/>
    <w:rsid w:val="009338AD"/>
    <w:rsid w:val="009340B8"/>
    <w:rsid w:val="00935521"/>
    <w:rsid w:val="0095799D"/>
    <w:rsid w:val="009772AA"/>
    <w:rsid w:val="009A14BB"/>
    <w:rsid w:val="00A07128"/>
    <w:rsid w:val="00A61BE8"/>
    <w:rsid w:val="00A81542"/>
    <w:rsid w:val="00B768BE"/>
    <w:rsid w:val="00BA04E4"/>
    <w:rsid w:val="00BE35A8"/>
    <w:rsid w:val="00C523B4"/>
    <w:rsid w:val="00C53039"/>
    <w:rsid w:val="00CA3CB4"/>
    <w:rsid w:val="00CA5E8B"/>
    <w:rsid w:val="00D77313"/>
    <w:rsid w:val="00DB70B1"/>
    <w:rsid w:val="00DD6DD2"/>
    <w:rsid w:val="00DE158F"/>
    <w:rsid w:val="00E463DE"/>
    <w:rsid w:val="00E83EE5"/>
    <w:rsid w:val="00EA33A9"/>
    <w:rsid w:val="00F54F4C"/>
    <w:rsid w:val="00F562AA"/>
    <w:rsid w:val="00FD2063"/>
    <w:rsid w:val="00FD250E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1252"/>
  <w15:chartTrackingRefBased/>
  <w15:docId w15:val="{6837AF80-9E43-4612-8449-CDB334DB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D19"/>
    <w:pPr>
      <w:spacing w:line="252" w:lineRule="auto"/>
      <w:ind w:left="0" w:firstLine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8"/>
    <w:qFormat/>
    <w:rsid w:val="00EA33A9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33A9"/>
    <w:pPr>
      <w:keepNext/>
      <w:keepLines/>
      <w:outlineLvl w:val="2"/>
    </w:pPr>
    <w:rPr>
      <w:rFonts w:eastAsiaTheme="majorEastAsia" w:cs="Times New Roman"/>
      <w:b/>
      <w:bCs/>
      <w:color w:val="4472C4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3A9"/>
    <w:pPr>
      <w:keepNext/>
      <w:keepLines/>
      <w:spacing w:before="40" w:after="0"/>
      <w:outlineLvl w:val="3"/>
    </w:pPr>
    <w:rPr>
      <w:rFonts w:eastAsiaTheme="majorEastAsia" w:cs="Times New Roman"/>
      <w:b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3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8"/>
    <w:rsid w:val="00EA33A9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33A9"/>
    <w:rPr>
      <w:rFonts w:ascii="Times New Roman" w:eastAsiaTheme="majorEastAsia" w:hAnsi="Times New Roman" w:cs="Times New Roman"/>
      <w:b/>
      <w:bCs/>
      <w:color w:val="4472C4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3A9"/>
    <w:rPr>
      <w:rFonts w:ascii="Times New Roman" w:eastAsiaTheme="majorEastAsia" w:hAnsi="Times New Roman" w:cs="Times New Roman"/>
      <w:b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3A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EA33A9"/>
    <w:pPr>
      <w:pBdr>
        <w:bottom w:val="single" w:sz="8" w:space="4" w:color="4472C4" w:themeColor="accent1"/>
      </w:pBdr>
      <w:spacing w:before="120" w:after="240"/>
      <w:contextualSpacing/>
    </w:pPr>
    <w:rPr>
      <w:rFonts w:eastAsiaTheme="majorEastAsia" w:cs="Times New Roman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33A9"/>
    <w:rPr>
      <w:rFonts w:ascii="Times New Roman" w:eastAsiaTheme="majorEastAsia" w:hAnsi="Times New Roman" w:cs="Times New Roman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EA33A9"/>
    <w:pPr>
      <w:spacing w:line="264" w:lineRule="auto"/>
      <w:ind w:left="720"/>
    </w:pPr>
    <w:rPr>
      <w:rFonts w:eastAsia="Times New Roman"/>
      <w:i/>
      <w:color w:val="333333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EA33A9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aliases w:val="Equations"/>
    <w:basedOn w:val="Normal"/>
    <w:link w:val="NoSpacingChar"/>
    <w:uiPriority w:val="1"/>
    <w:qFormat/>
    <w:rsid w:val="00EA33A9"/>
    <w:pPr>
      <w:ind w:left="567"/>
    </w:pPr>
    <w:rPr>
      <w:i/>
    </w:rPr>
  </w:style>
  <w:style w:type="character" w:customStyle="1" w:styleId="NoSpacingChar">
    <w:name w:val="No Spacing Char"/>
    <w:aliases w:val="Equations Char"/>
    <w:basedOn w:val="DefaultParagraphFont"/>
    <w:link w:val="NoSpacing"/>
    <w:uiPriority w:val="1"/>
    <w:rsid w:val="00EA33A9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EA33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-sa/3.0/deed.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reativecommons.org/licenses/by-sa/3.0/deed.en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55</cp:revision>
  <dcterms:created xsi:type="dcterms:W3CDTF">2022-08-22T11:54:00Z</dcterms:created>
  <dcterms:modified xsi:type="dcterms:W3CDTF">2022-08-24T08:55:00Z</dcterms:modified>
</cp:coreProperties>
</file>