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13DA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C0AD3" wp14:editId="2B97F92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AC5D6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435450C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14AA9D76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06764D2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4993CBE4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601D08E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4EAAB28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C0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070AC5D6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435450C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14AA9D76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706764D2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4993CBE4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601D08E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4EAAB28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003DFF00" wp14:editId="656C4E75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39ADD" w14:textId="77777777" w:rsidR="00762595" w:rsidRDefault="00762595" w:rsidP="00762595">
      <w:pPr>
        <w:pStyle w:val="Heading1"/>
        <w:rPr>
          <w:sz w:val="24"/>
        </w:rPr>
      </w:pPr>
    </w:p>
    <w:p w14:paraId="1BE8F61D" w14:textId="77777777" w:rsidR="00762595" w:rsidRDefault="00762595" w:rsidP="00762595">
      <w:pPr>
        <w:pStyle w:val="Heading1"/>
        <w:rPr>
          <w:sz w:val="24"/>
        </w:rPr>
      </w:pPr>
    </w:p>
    <w:p w14:paraId="53368A9B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1834EDD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2E81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EAB" w14:textId="6B765AB7" w:rsidR="00762595" w:rsidRDefault="00A06346">
            <w:r w:rsidRPr="00A06346">
              <w:t>Int2 PPA1-1 - Effect of Concentration on Reaction Rate</w:t>
            </w:r>
          </w:p>
        </w:tc>
      </w:tr>
      <w:tr w:rsidR="00762595" w14:paraId="1E1755B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05A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E16" w14:textId="7A547C0F" w:rsidR="00762595" w:rsidRDefault="00A06346">
            <w:r>
              <w:t>8</w:t>
            </w:r>
            <w:r w:rsidRPr="00A06346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487F52F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A23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25E" w14:textId="77777777" w:rsidR="00762595" w:rsidRDefault="00762595">
            <w:pPr>
              <w:pStyle w:val="Salutation"/>
            </w:pPr>
          </w:p>
        </w:tc>
      </w:tr>
      <w:tr w:rsidR="00762595" w14:paraId="45489D7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B2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02F7" w14:textId="77777777" w:rsidR="00762595" w:rsidRDefault="00762595">
            <w:pPr>
              <w:pStyle w:val="Salutation"/>
            </w:pPr>
          </w:p>
        </w:tc>
      </w:tr>
      <w:tr w:rsidR="00762595" w14:paraId="30E5017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A37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5DE" w14:textId="77777777" w:rsidR="00762595" w:rsidRDefault="00762595"/>
        </w:tc>
      </w:tr>
    </w:tbl>
    <w:p w14:paraId="5C76410B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602C0064" w14:textId="77777777" w:rsidTr="00F01410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FAA24C7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D51C1B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481074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502315A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122AC830" w14:textId="77777777" w:rsidTr="00F01410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17ED19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7EF99B9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DE9062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F9EE07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D16E3B8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5A0B452F" w14:textId="77777777" w:rsidTr="00F01410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91B6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B666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B9A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BBED93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A0373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473658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5BEBCB4C" w14:textId="77777777" w:rsidTr="00F01410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050C" w14:textId="35588CA8" w:rsidR="00762595" w:rsidRDefault="00A06346">
            <w:r>
              <w:t xml:space="preserve">Sodium </w:t>
            </w:r>
            <w:proofErr w:type="spellStart"/>
            <w:r>
              <w:t>peroxodisulphate</w:t>
            </w:r>
            <w:proofErr w:type="spellEnd"/>
            <w:r>
              <w:t xml:space="preserve"> (persulphate) is harmful if swallowed, a skin / eye / respiratory irritant, a skin / respiratory sensitiser and an oxidiser.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98E" w14:textId="1CF2C908" w:rsidR="00762595" w:rsidRDefault="00A06346">
            <w:r>
              <w:t>Technician preparing solution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F184" w14:textId="614F66ED" w:rsidR="00762595" w:rsidRDefault="00A06346">
            <w:r>
              <w:t>Wear eye protection and gloves. Avoid raising dust. Keep away from combustible materials.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221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94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1BC" w14:textId="77777777" w:rsidR="00762595" w:rsidRDefault="00762595"/>
        </w:tc>
      </w:tr>
      <w:tr w:rsidR="00762595" w:rsidRPr="00A06346" w14:paraId="675DAE42" w14:textId="77777777" w:rsidTr="00F01410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1911" w14:textId="4D8A5893" w:rsidR="00762595" w:rsidRPr="00A06346" w:rsidRDefault="00A06346">
            <w:pPr>
              <w:rPr>
                <w:rFonts w:cs="Tahoma"/>
              </w:rPr>
            </w:pPr>
            <w:r w:rsidRPr="00A06346">
              <w:rPr>
                <w:rFonts w:cs="Tahoma"/>
              </w:rPr>
              <w:t>0.1 mol l</w:t>
            </w:r>
            <w:r w:rsidRPr="00A06346">
              <w:rPr>
                <w:rFonts w:cs="Tahoma"/>
                <w:vertAlign w:val="superscript"/>
              </w:rPr>
              <w:t>-1</w:t>
            </w:r>
            <w:r w:rsidRPr="00A06346">
              <w:rPr>
                <w:rFonts w:cs="Tahoma"/>
              </w:rPr>
              <w:t xml:space="preserve"> sodium </w:t>
            </w:r>
            <w:proofErr w:type="spellStart"/>
            <w:r w:rsidRPr="00A06346">
              <w:rPr>
                <w:rFonts w:cs="Tahoma"/>
              </w:rPr>
              <w:t>peroxidisulphate</w:t>
            </w:r>
            <w:proofErr w:type="spellEnd"/>
            <w:r w:rsidRPr="00A06346">
              <w:rPr>
                <w:rFonts w:cs="Tahoma"/>
              </w:rPr>
              <w:t xml:space="preserve"> solution</w:t>
            </w:r>
            <w:r>
              <w:rPr>
                <w:rFonts w:cs="Tahoma"/>
              </w:rPr>
              <w:t xml:space="preserve"> is a skin / respiratory sensitiser.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80C" w14:textId="47265B28" w:rsidR="00762595" w:rsidRPr="00A06346" w:rsidRDefault="00A06346">
            <w:pPr>
              <w:rPr>
                <w:rFonts w:cs="Tahoma"/>
              </w:rPr>
            </w:pPr>
            <w:r>
              <w:rPr>
                <w:rFonts w:cs="Tahoma"/>
              </w:rPr>
              <w:t>Pupils by splashes while carrying out experiment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C66" w14:textId="521601FC" w:rsidR="00762595" w:rsidRPr="00A06346" w:rsidRDefault="00A06346">
            <w:pPr>
              <w:rPr>
                <w:rFonts w:cs="Tahoma"/>
              </w:rPr>
            </w:pPr>
            <w:r>
              <w:rPr>
                <w:rFonts w:cs="Tahoma"/>
              </w:rPr>
              <w:t>Wash off any spills as soon as possible. Consider gloves – though the risk from small-scale single exposure is extremely low.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F4E" w14:textId="77777777" w:rsidR="00762595" w:rsidRPr="00A06346" w:rsidRDefault="00762595">
            <w:pPr>
              <w:rPr>
                <w:rFonts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CB1" w14:textId="77777777" w:rsidR="00762595" w:rsidRPr="00A06346" w:rsidRDefault="00762595">
            <w:pPr>
              <w:rPr>
                <w:rFonts w:cs="Tahom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579" w14:textId="77777777" w:rsidR="00762595" w:rsidRPr="00A06346" w:rsidRDefault="00762595">
            <w:pPr>
              <w:rPr>
                <w:rFonts w:cs="Tahoma"/>
              </w:rPr>
            </w:pPr>
          </w:p>
        </w:tc>
      </w:tr>
      <w:tr w:rsidR="00762595" w14:paraId="789B3376" w14:textId="77777777" w:rsidTr="00F01410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08E0" w14:textId="1F799BDB" w:rsidR="00762595" w:rsidRDefault="00F01410">
            <w:r>
              <w:t>Potassium iodide is an eye irritant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641" w14:textId="29170190" w:rsidR="00762595" w:rsidRDefault="00F01410">
            <w:r>
              <w:t>Technician preparing solution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43F" w14:textId="7587209B" w:rsidR="00762595" w:rsidRPr="00F01410" w:rsidRDefault="00F01410">
            <w:pPr>
              <w:rPr>
                <w:b/>
                <w:bCs/>
              </w:rPr>
            </w:pPr>
            <w:r>
              <w:t>Wear eye protection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FCF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9C2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DFC" w14:textId="77777777" w:rsidR="00762595" w:rsidRDefault="00762595"/>
        </w:tc>
      </w:tr>
      <w:tr w:rsidR="00762595" w14:paraId="1097F2CE" w14:textId="77777777" w:rsidTr="00F01410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2AAD" w14:textId="2908815A" w:rsidR="00762595" w:rsidRDefault="00F01410">
            <w:r>
              <w:t>The other materials are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5F1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B92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04E5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B6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A975" w14:textId="77777777" w:rsidR="00762595" w:rsidRDefault="00762595"/>
        </w:tc>
      </w:tr>
    </w:tbl>
    <w:p w14:paraId="4BE50BAF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6E9E1B64" w14:textId="77777777" w:rsidTr="00F01410">
        <w:trPr>
          <w:trHeight w:val="240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0C0C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3ABBE8EB" w14:textId="77777777" w:rsidR="00762595" w:rsidRDefault="00762595"/>
          <w:p w14:paraId="2920E92D" w14:textId="08D54640" w:rsidR="00F01410" w:rsidRDefault="00F01410">
            <w:r>
              <w:t xml:space="preserve">This is an iodine clock reaction. The only variable is the concentration of the sodium </w:t>
            </w:r>
            <w:proofErr w:type="spellStart"/>
            <w:r>
              <w:t>peroxodisulphate</w:t>
            </w:r>
            <w:proofErr w:type="spellEnd"/>
            <w:r>
              <w:t>. The time required for the mixture to turn black is recorded as an indicator of the rate of reaction.</w:t>
            </w:r>
          </w:p>
        </w:tc>
      </w:tr>
    </w:tbl>
    <w:p w14:paraId="428DC66F" w14:textId="77777777" w:rsidR="00762595" w:rsidRDefault="00762595" w:rsidP="00762595">
      <w:pPr>
        <w:rPr>
          <w:sz w:val="28"/>
        </w:rPr>
      </w:pPr>
    </w:p>
    <w:p w14:paraId="54027AF2" w14:textId="77777777" w:rsidR="00762595" w:rsidRDefault="00762595" w:rsidP="00762595">
      <w:pPr>
        <w:rPr>
          <w:sz w:val="28"/>
        </w:rPr>
      </w:pPr>
    </w:p>
    <w:p w14:paraId="7E3381F5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388E4BEA" w14:textId="77777777" w:rsidTr="00F01410">
        <w:trPr>
          <w:trHeight w:val="167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915D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46033383" w14:textId="77777777" w:rsidR="00185440" w:rsidRDefault="00F01410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46"/>
    <w:rsid w:val="000147A5"/>
    <w:rsid w:val="001D1C70"/>
    <w:rsid w:val="00393E7C"/>
    <w:rsid w:val="003F3EA1"/>
    <w:rsid w:val="006E27A3"/>
    <w:rsid w:val="00762595"/>
    <w:rsid w:val="009601EF"/>
    <w:rsid w:val="00A06346"/>
    <w:rsid w:val="00BA3643"/>
    <w:rsid w:val="00D24C31"/>
    <w:rsid w:val="00E82E1C"/>
    <w:rsid w:val="00EB7C10"/>
    <w:rsid w:val="00F014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A23A"/>
  <w15:chartTrackingRefBased/>
  <w15:docId w15:val="{3EB904EB-E6A4-4B5F-A73D-B93FA52D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2022-07-08T19:17:00Z</dcterms:created>
  <dcterms:modified xsi:type="dcterms:W3CDTF">2022-07-08T19:25:00Z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