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0E4B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CC91F" wp14:editId="5EDC72F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A61AD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5DE1F66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40B77F8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AA32B6A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40C55A26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6E203912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53A5C8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CC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1DDA61AD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5DE1F66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40B77F8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5AA32B6A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40C55A26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6E203912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53A5C8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3268BC" wp14:editId="0AE8BE54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072C" w14:textId="77777777" w:rsidR="00762595" w:rsidRDefault="00762595" w:rsidP="00762595">
      <w:pPr>
        <w:pStyle w:val="Heading1"/>
        <w:rPr>
          <w:sz w:val="24"/>
        </w:rPr>
      </w:pPr>
    </w:p>
    <w:p w14:paraId="7D3AF819" w14:textId="77777777" w:rsidR="00762595" w:rsidRDefault="00762595" w:rsidP="00762595">
      <w:pPr>
        <w:pStyle w:val="Heading1"/>
        <w:rPr>
          <w:sz w:val="24"/>
        </w:rPr>
      </w:pPr>
    </w:p>
    <w:p w14:paraId="5A4CE478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31C7059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C681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26D1" w14:textId="318925DC" w:rsidR="00762595" w:rsidRDefault="006C5BAB">
            <w:r>
              <w:t>Changing the position of an equilibrium</w:t>
            </w:r>
          </w:p>
        </w:tc>
      </w:tr>
      <w:tr w:rsidR="00762595" w14:paraId="57D6BC77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D17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67E" w14:textId="337AADEE" w:rsidR="00762595" w:rsidRDefault="006C5BAB">
            <w:r>
              <w:t>4</w:t>
            </w:r>
            <w:r w:rsidRPr="006C5BAB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1CD344C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000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AAD" w14:textId="77777777" w:rsidR="00762595" w:rsidRDefault="00762595">
            <w:pPr>
              <w:pStyle w:val="Salutation"/>
            </w:pPr>
          </w:p>
        </w:tc>
      </w:tr>
      <w:tr w:rsidR="00762595" w14:paraId="74A6DC91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E05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CBF" w14:textId="77777777" w:rsidR="00762595" w:rsidRDefault="00762595">
            <w:pPr>
              <w:pStyle w:val="Salutation"/>
            </w:pPr>
          </w:p>
        </w:tc>
      </w:tr>
      <w:tr w:rsidR="00762595" w14:paraId="2E09699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971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2B4" w14:textId="77777777" w:rsidR="00762595" w:rsidRDefault="00762595"/>
        </w:tc>
      </w:tr>
    </w:tbl>
    <w:p w14:paraId="3A252B36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2693"/>
        <w:gridCol w:w="5213"/>
        <w:gridCol w:w="1134"/>
        <w:gridCol w:w="993"/>
        <w:gridCol w:w="708"/>
      </w:tblGrid>
      <w:tr w:rsidR="00762595" w14:paraId="6B512896" w14:textId="77777777" w:rsidTr="00642D64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EF79088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A708A0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A6CC3A2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999C617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4498CA33" w14:textId="77777777" w:rsidTr="00642D64">
        <w:trPr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38EE03B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B3CF3E7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C65AEC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3EFA5B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BB4727C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682E09FD" w14:textId="77777777" w:rsidTr="00642D64">
        <w:trPr>
          <w:trHeight w:val="34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77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5B88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5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684A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31BD0B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D22399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507680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643CB828" w14:textId="77777777" w:rsidTr="00642D64">
        <w:trPr>
          <w:trHeight w:val="7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B92" w14:textId="77777777" w:rsidR="00762595" w:rsidRDefault="006C5BAB">
            <w:r>
              <w:t>Sodium hydroxide is corrosive to skin and eyes.</w:t>
            </w:r>
          </w:p>
          <w:p w14:paraId="257269F2" w14:textId="77777777" w:rsidR="006C5BAB" w:rsidRDefault="006C5BAB"/>
          <w:p w14:paraId="49421304" w14:textId="5395702A" w:rsidR="006C5BAB" w:rsidRDefault="006C5BAB">
            <w:r>
              <w:t xml:space="preserve">The 0.1 </w:t>
            </w:r>
            <w:r w:rsidRPr="006C5BAB">
              <w:t>mol l</w:t>
            </w:r>
            <w:r w:rsidRPr="006C5BAB">
              <w:rPr>
                <w:vertAlign w:val="superscript"/>
              </w:rPr>
              <w:t>-1</w:t>
            </w:r>
            <w:r>
              <w:t xml:space="preserve"> solution is of no significant hazard.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DB5" w14:textId="7384B2B5" w:rsidR="00762595" w:rsidRDefault="006C5BAB">
            <w:r>
              <w:t>Technician by splashes while making up the solution.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6A5" w14:textId="51A73BC0" w:rsidR="00762595" w:rsidRDefault="006C5BAB">
            <w:r>
              <w:t>Wear goggles (BS EN 166 3) and gloves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5321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501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CF0" w14:textId="77777777" w:rsidR="00762595" w:rsidRDefault="00762595"/>
        </w:tc>
      </w:tr>
      <w:tr w:rsidR="00762595" w14:paraId="64C5EFFA" w14:textId="77777777" w:rsidTr="00642D64">
        <w:trPr>
          <w:trHeight w:val="7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3C9" w14:textId="77777777" w:rsidR="00762595" w:rsidRDefault="006C5BAB">
            <w:r>
              <w:t>Hydrochloric acid is corrosive to skin and eyes and releases corrosive and choking fumes</w:t>
            </w:r>
          </w:p>
          <w:p w14:paraId="64A11FAD" w14:textId="77777777" w:rsidR="006C5BAB" w:rsidRDefault="006C5BAB"/>
          <w:p w14:paraId="0871AFA0" w14:textId="144919CD" w:rsidR="006C5BAB" w:rsidRDefault="006C5BAB">
            <w:r>
              <w:t xml:space="preserve">The 0.1 </w:t>
            </w:r>
            <w:r w:rsidRPr="006C5BAB">
              <w:t>mol l</w:t>
            </w:r>
            <w:r w:rsidRPr="006C5BAB">
              <w:rPr>
                <w:vertAlign w:val="superscript"/>
              </w:rPr>
              <w:t>-1</w:t>
            </w:r>
            <w:r>
              <w:t xml:space="preserve"> solution is of no significant hazard.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F7B" w14:textId="4AE4AD92" w:rsidR="00762595" w:rsidRDefault="006C5BAB">
            <w:r>
              <w:t xml:space="preserve">Technician by splashes </w:t>
            </w:r>
            <w:r>
              <w:t xml:space="preserve">or inhaling fumes </w:t>
            </w:r>
            <w:r>
              <w:t>while making up the solution.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790" w14:textId="7C683F26" w:rsidR="00762595" w:rsidRDefault="006C5BAB">
            <w:r>
              <w:t xml:space="preserve">Work in a fume cupboard – or a well-ventilated laboratory if the quantities are not large. </w:t>
            </w:r>
            <w:r>
              <w:t>Wear goggles (BS EN 166 3) and gloves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36F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B92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63E3" w14:textId="77777777" w:rsidR="00762595" w:rsidRDefault="00762595"/>
        </w:tc>
      </w:tr>
      <w:tr w:rsidR="00762595" w14:paraId="31CA376E" w14:textId="77777777" w:rsidTr="00642D64">
        <w:trPr>
          <w:trHeight w:val="7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4F8" w14:textId="42F96616" w:rsidR="00762595" w:rsidRDefault="006C5BAB">
            <w:r>
              <w:t>Indicator solutions are sometimes flammable (if made up in ethanol)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E32" w14:textId="52936876" w:rsidR="00762595" w:rsidRDefault="006C5BAB">
            <w:r>
              <w:t>Teacher, technicians or pupils by fire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E4E" w14:textId="4D27F284" w:rsidR="00762595" w:rsidRDefault="006C5BAB">
            <w:r>
              <w:t>Keep away from sources of ignition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4BD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0E8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3D9" w14:textId="77777777" w:rsidR="00762595" w:rsidRDefault="00762595"/>
        </w:tc>
      </w:tr>
      <w:tr w:rsidR="00762595" w14:paraId="30A86F4B" w14:textId="77777777" w:rsidTr="00642D64">
        <w:trPr>
          <w:trHeight w:val="7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A82" w14:textId="68824729" w:rsidR="00762595" w:rsidRDefault="006C5BAB">
            <w:r>
              <w:t xml:space="preserve">Potassium chromate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2502" w14:textId="77777777" w:rsidR="00762595" w:rsidRDefault="00762595"/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803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A69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611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AA6" w14:textId="77777777" w:rsidR="00762595" w:rsidRDefault="00762595"/>
        </w:tc>
      </w:tr>
      <w:tr w:rsidR="00C31D5D" w14:paraId="2132D637" w14:textId="77777777" w:rsidTr="00642D64">
        <w:trPr>
          <w:trHeight w:val="7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F0F" w14:textId="77777777" w:rsidR="00C31D5D" w:rsidRDefault="00C31D5D" w:rsidP="00C31D5D">
            <w:r>
              <w:t>Iron III chloride is harmful if swallowed and corrosive to skin and eyes.</w:t>
            </w:r>
          </w:p>
          <w:p w14:paraId="366A5A3F" w14:textId="77777777" w:rsidR="00C31D5D" w:rsidRDefault="00C31D5D" w:rsidP="00C31D5D"/>
          <w:p w14:paraId="48C253AE" w14:textId="6DFB597D" w:rsidR="00C31D5D" w:rsidRDefault="00C31D5D" w:rsidP="00C31D5D">
            <w:r>
              <w:t xml:space="preserve">The 0.5 </w:t>
            </w:r>
            <w:r w:rsidRPr="006C5BAB">
              <w:t>mol l</w:t>
            </w:r>
            <w:r w:rsidRPr="006C5BAB">
              <w:rPr>
                <w:vertAlign w:val="superscript"/>
              </w:rPr>
              <w:t>-1</w:t>
            </w:r>
            <w:r w:rsidRPr="006C5BAB">
              <w:t xml:space="preserve"> solution</w:t>
            </w:r>
            <w:r>
              <w:t xml:space="preserve"> if also corrosive to skin and eyes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40C" w14:textId="77777777" w:rsidR="00C31D5D" w:rsidRDefault="00C31D5D" w:rsidP="00C31D5D">
            <w:r>
              <w:t>Technician by splashes while making up the solution.</w:t>
            </w:r>
          </w:p>
          <w:p w14:paraId="090C28EC" w14:textId="77777777" w:rsidR="00C31D5D" w:rsidRDefault="00C31D5D" w:rsidP="00C31D5D"/>
          <w:p w14:paraId="0B18D34D" w14:textId="77777777" w:rsidR="00C31D5D" w:rsidRDefault="00C31D5D" w:rsidP="00C31D5D"/>
          <w:p w14:paraId="7D203035" w14:textId="314A2AF4" w:rsidR="00C31D5D" w:rsidRDefault="00C31D5D" w:rsidP="00C31D5D">
            <w:r>
              <w:t>Pupils</w:t>
            </w:r>
            <w:r>
              <w:t xml:space="preserve"> by splashes </w:t>
            </w:r>
          </w:p>
          <w:p w14:paraId="62112655" w14:textId="2E0E7EB8" w:rsidR="00C31D5D" w:rsidRDefault="00C31D5D" w:rsidP="00C31D5D"/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0C8" w14:textId="77777777" w:rsidR="00C31D5D" w:rsidRDefault="00C31D5D" w:rsidP="00C31D5D">
            <w:r>
              <w:t>Wear goggles (BS EN 166 3) and gloves</w:t>
            </w:r>
          </w:p>
          <w:p w14:paraId="3E842A2A" w14:textId="77777777" w:rsidR="00C31D5D" w:rsidRDefault="00C31D5D" w:rsidP="00C31D5D"/>
          <w:p w14:paraId="43FCE1C7" w14:textId="77777777" w:rsidR="00C31D5D" w:rsidRDefault="00C31D5D" w:rsidP="00C31D5D"/>
          <w:p w14:paraId="3F4BAB7A" w14:textId="77777777" w:rsidR="00C31D5D" w:rsidRDefault="00C31D5D" w:rsidP="00C31D5D"/>
          <w:p w14:paraId="36E8ECA8" w14:textId="77777777" w:rsidR="00C31D5D" w:rsidRDefault="00C31D5D" w:rsidP="00C31D5D"/>
          <w:p w14:paraId="46F868D7" w14:textId="20CBBC47" w:rsidR="00C31D5D" w:rsidRDefault="00C31D5D" w:rsidP="00C31D5D">
            <w:r>
              <w:t>Wear goggles (BS EN 166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167" w14:textId="77777777" w:rsidR="00C31D5D" w:rsidRDefault="00C31D5D" w:rsidP="00C31D5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3954" w14:textId="77777777" w:rsidR="00C31D5D" w:rsidRDefault="00C31D5D" w:rsidP="00C31D5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E59" w14:textId="77777777" w:rsidR="00C31D5D" w:rsidRDefault="00C31D5D" w:rsidP="00C31D5D"/>
        </w:tc>
      </w:tr>
      <w:tr w:rsidR="00762595" w14:paraId="7619C264" w14:textId="77777777" w:rsidTr="00642D64">
        <w:trPr>
          <w:trHeight w:val="7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5EB" w14:textId="77777777" w:rsidR="00762595" w:rsidRDefault="00CF7AFD">
            <w:r>
              <w:t>Potassium thiocyanate is harmful is swallowed, inhaled or in contact with skin. It also releases toxic gas in contact with concentrated acids.</w:t>
            </w:r>
          </w:p>
          <w:p w14:paraId="5FAB0C32" w14:textId="77777777" w:rsidR="00CF7AFD" w:rsidRDefault="00CF7AFD"/>
          <w:p w14:paraId="3650B334" w14:textId="5756F141" w:rsidR="00CF7AFD" w:rsidRDefault="00CF7AFD">
            <w:r>
              <w:t xml:space="preserve">The </w:t>
            </w:r>
            <w:r w:rsidR="00657651">
              <w:t xml:space="preserve">0.5 </w:t>
            </w:r>
            <w:r w:rsidR="00657651" w:rsidRPr="006C5BAB">
              <w:t>mol l</w:t>
            </w:r>
            <w:r w:rsidR="00657651" w:rsidRPr="006C5BAB">
              <w:rPr>
                <w:vertAlign w:val="superscript"/>
              </w:rPr>
              <w:t>-1</w:t>
            </w:r>
            <w:r w:rsidR="00657651" w:rsidRPr="006C5BAB">
              <w:t xml:space="preserve"> </w:t>
            </w:r>
            <w:r>
              <w:t>solution is of no significant hazard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A7C" w14:textId="77777777" w:rsidR="00CF7AFD" w:rsidRDefault="00CF7AFD" w:rsidP="00CF7AFD">
            <w:r>
              <w:t>Technician by splashes while making up the solution.</w:t>
            </w:r>
          </w:p>
          <w:p w14:paraId="50F7A6B5" w14:textId="77777777" w:rsidR="00762595" w:rsidRDefault="00762595"/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F45" w14:textId="2B164AD4" w:rsidR="00762595" w:rsidRDefault="00CF7AFD">
            <w:r>
              <w:t>Wear eye protection and consider gloves. Avoid raising dust.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B06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0A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1A6" w14:textId="77777777" w:rsidR="00762595" w:rsidRDefault="00762595"/>
        </w:tc>
      </w:tr>
      <w:tr w:rsidR="00762595" w14:paraId="2F3E942B" w14:textId="77777777" w:rsidTr="00642D64">
        <w:trPr>
          <w:trHeight w:val="7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329" w14:textId="58981DCB" w:rsidR="00762595" w:rsidRDefault="00CF7AFD">
            <w:r>
              <w:t>Ammonium chloride is harmful if swallowed and is an eye irritant.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271" w14:textId="4B354E59" w:rsidR="00762595" w:rsidRDefault="00CF7AFD">
            <w:r>
              <w:t>Teacher, technicians or pupils</w:t>
            </w:r>
            <w:r>
              <w:t xml:space="preserve"> </w:t>
            </w:r>
            <w:r w:rsidR="00657651">
              <w:t>in contact with the eye.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4A9" w14:textId="5FDD08FB" w:rsidR="00762595" w:rsidRDefault="00657651">
            <w:r>
              <w:t>Wear eye protection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4C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2F5B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CF3" w14:textId="77777777" w:rsidR="00762595" w:rsidRDefault="00762595"/>
        </w:tc>
      </w:tr>
    </w:tbl>
    <w:p w14:paraId="0EC710D0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25C45C8E" w14:textId="77777777" w:rsidTr="00657651">
        <w:trPr>
          <w:trHeight w:val="226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B137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953D776" w14:textId="77777777" w:rsidR="00762595" w:rsidRDefault="00762595"/>
          <w:p w14:paraId="7E87408D" w14:textId="1152A73E" w:rsidR="00657651" w:rsidRDefault="00657651">
            <w:r>
              <w:t xml:space="preserve">3 simple activities involving equilibria and the effect of adding reagents that ‘tilt’ </w:t>
            </w:r>
            <w:proofErr w:type="gramStart"/>
            <w:r>
              <w:t>these one way</w:t>
            </w:r>
            <w:proofErr w:type="gramEnd"/>
            <w:r>
              <w:t xml:space="preserve"> or the other.</w:t>
            </w:r>
          </w:p>
        </w:tc>
      </w:tr>
    </w:tbl>
    <w:p w14:paraId="791F8CD3" w14:textId="77777777" w:rsidR="00762595" w:rsidRDefault="00762595" w:rsidP="00762595">
      <w:pPr>
        <w:rPr>
          <w:sz w:val="28"/>
        </w:rPr>
      </w:pPr>
    </w:p>
    <w:p w14:paraId="4A6A614E" w14:textId="77777777" w:rsidR="00762595" w:rsidRDefault="00762595" w:rsidP="00762595">
      <w:pPr>
        <w:rPr>
          <w:sz w:val="28"/>
        </w:rPr>
      </w:pPr>
    </w:p>
    <w:p w14:paraId="6E23C17A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78A3B8AA" w14:textId="77777777" w:rsidTr="00657651">
        <w:trPr>
          <w:trHeight w:val="1694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64D9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3BF037E3" w14:textId="77777777" w:rsidR="00185440" w:rsidRDefault="00642D64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B"/>
    <w:rsid w:val="000147A5"/>
    <w:rsid w:val="001D1C70"/>
    <w:rsid w:val="00393E7C"/>
    <w:rsid w:val="003F3EA1"/>
    <w:rsid w:val="00642D64"/>
    <w:rsid w:val="00657651"/>
    <w:rsid w:val="006C5BAB"/>
    <w:rsid w:val="006E27A3"/>
    <w:rsid w:val="00762595"/>
    <w:rsid w:val="009601EF"/>
    <w:rsid w:val="00BA3643"/>
    <w:rsid w:val="00C31D5D"/>
    <w:rsid w:val="00CF7AFD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91BF"/>
  <w15:chartTrackingRefBased/>
  <w15:docId w15:val="{B3DCADFD-0665-490C-849B-299A8ED7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FD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2</cp:revision>
  <cp:lastPrinted>2022-07-06T15:14:00Z</cp:lastPrinted>
  <dcterms:created xsi:type="dcterms:W3CDTF">2022-07-06T15:08:00Z</dcterms:created>
  <dcterms:modified xsi:type="dcterms:W3CDTF">2022-07-06T15:26:00Z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