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E8E0" w14:textId="77777777" w:rsidR="005820A6" w:rsidRDefault="005820A6" w:rsidP="005820A6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C3534" wp14:editId="5D01C46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FAC7C" w14:textId="77777777" w:rsidR="005820A6" w:rsidRDefault="005820A6" w:rsidP="005820A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118FC92" w14:textId="77777777" w:rsidR="005820A6" w:rsidRDefault="005820A6" w:rsidP="005820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069E399F" w14:textId="77777777" w:rsidR="005820A6" w:rsidRDefault="005820A6" w:rsidP="005820A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152E4C" w14:textId="77777777" w:rsidR="005820A6" w:rsidRPr="00BE48E3" w:rsidRDefault="005820A6" w:rsidP="005820A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6A9E19E2" w14:textId="77777777" w:rsidR="005820A6" w:rsidRDefault="005820A6" w:rsidP="005820A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53F21B" w14:textId="77777777" w:rsidR="005820A6" w:rsidRDefault="005820A6" w:rsidP="005820A6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57BCB15" w14:textId="77777777" w:rsidR="005820A6" w:rsidRDefault="005820A6" w:rsidP="005820A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C35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43CFAC7C" w14:textId="77777777" w:rsidR="005820A6" w:rsidRDefault="005820A6" w:rsidP="005820A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118FC92" w14:textId="77777777" w:rsidR="005820A6" w:rsidRDefault="005820A6" w:rsidP="005820A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069E399F" w14:textId="77777777" w:rsidR="005820A6" w:rsidRDefault="005820A6" w:rsidP="005820A6">
                      <w:pPr>
                        <w:rPr>
                          <w:sz w:val="24"/>
                        </w:rPr>
                      </w:pPr>
                    </w:p>
                    <w:p w14:paraId="7F152E4C" w14:textId="77777777" w:rsidR="005820A6" w:rsidRPr="00BE48E3" w:rsidRDefault="005820A6" w:rsidP="005820A6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6A9E19E2" w14:textId="77777777" w:rsidR="005820A6" w:rsidRDefault="005820A6" w:rsidP="005820A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sz w:val="18"/>
                          </w:rPr>
                          <w:t>www.sserc.org.uk</w:t>
                        </w:r>
                      </w:hyperlink>
                    </w:p>
                    <w:p w14:paraId="4E53F21B" w14:textId="77777777" w:rsidR="005820A6" w:rsidRDefault="005820A6" w:rsidP="005820A6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57BCB15" w14:textId="77777777" w:rsidR="005820A6" w:rsidRDefault="005820A6" w:rsidP="005820A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7D7E228" wp14:editId="200BEA5B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4DD79" w14:textId="77777777" w:rsidR="005820A6" w:rsidRDefault="005820A6" w:rsidP="005820A6">
      <w:pPr>
        <w:pStyle w:val="Heading1"/>
        <w:rPr>
          <w:sz w:val="24"/>
        </w:rPr>
      </w:pPr>
    </w:p>
    <w:p w14:paraId="2E614DCA" w14:textId="77777777" w:rsidR="005820A6" w:rsidRDefault="005820A6" w:rsidP="005820A6">
      <w:pPr>
        <w:pStyle w:val="Heading1"/>
        <w:rPr>
          <w:sz w:val="24"/>
        </w:rPr>
      </w:pPr>
    </w:p>
    <w:p w14:paraId="65F20843" w14:textId="77777777" w:rsidR="005820A6" w:rsidRDefault="005820A6" w:rsidP="005820A6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5820A6" w14:paraId="5B508186" w14:textId="77777777" w:rsidTr="001241FE">
        <w:tc>
          <w:tcPr>
            <w:tcW w:w="3085" w:type="dxa"/>
          </w:tcPr>
          <w:p w14:paraId="1133CFEE" w14:textId="77777777" w:rsidR="005820A6" w:rsidRDefault="005820A6" w:rsidP="001241FE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BBC8BEC" w14:textId="5A754D6F" w:rsidR="005820A6" w:rsidRDefault="005820A6" w:rsidP="001241FE">
            <w:r>
              <w:t xml:space="preserve">Ethanol </w:t>
            </w:r>
            <w:r w:rsidR="008A1291">
              <w:t>Oxidation</w:t>
            </w:r>
          </w:p>
        </w:tc>
      </w:tr>
      <w:tr w:rsidR="005820A6" w14:paraId="6D7ED4E9" w14:textId="77777777" w:rsidTr="001241FE">
        <w:tc>
          <w:tcPr>
            <w:tcW w:w="3085" w:type="dxa"/>
          </w:tcPr>
          <w:p w14:paraId="3A85D2A3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AEE92B4" w14:textId="1C796534" w:rsidR="005820A6" w:rsidRDefault="008A1291" w:rsidP="001241FE">
            <w:r>
              <w:t>22/10/2021</w:t>
            </w:r>
          </w:p>
        </w:tc>
      </w:tr>
      <w:tr w:rsidR="005820A6" w14:paraId="440ABF1E" w14:textId="77777777" w:rsidTr="001241FE">
        <w:tc>
          <w:tcPr>
            <w:tcW w:w="3085" w:type="dxa"/>
          </w:tcPr>
          <w:p w14:paraId="35BAE076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5D41E568" w14:textId="77777777" w:rsidR="005820A6" w:rsidRDefault="005820A6" w:rsidP="001241FE">
            <w:pPr>
              <w:pStyle w:val="Salutation"/>
            </w:pPr>
          </w:p>
        </w:tc>
      </w:tr>
      <w:tr w:rsidR="005820A6" w14:paraId="0D3F193C" w14:textId="77777777" w:rsidTr="001241FE">
        <w:tc>
          <w:tcPr>
            <w:tcW w:w="3085" w:type="dxa"/>
          </w:tcPr>
          <w:p w14:paraId="6B52B0CC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5E556636" w14:textId="77777777" w:rsidR="005820A6" w:rsidRDefault="005820A6" w:rsidP="001241FE">
            <w:pPr>
              <w:pStyle w:val="Salutation"/>
            </w:pPr>
          </w:p>
        </w:tc>
      </w:tr>
      <w:tr w:rsidR="005820A6" w14:paraId="47F666A3" w14:textId="77777777" w:rsidTr="001241FE">
        <w:tc>
          <w:tcPr>
            <w:tcW w:w="3085" w:type="dxa"/>
          </w:tcPr>
          <w:p w14:paraId="48B7D0B0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4ECDCB20" w14:textId="77777777" w:rsidR="005820A6" w:rsidRDefault="005820A6" w:rsidP="001241FE"/>
        </w:tc>
      </w:tr>
    </w:tbl>
    <w:p w14:paraId="52CC5727" w14:textId="77777777" w:rsidR="005820A6" w:rsidRDefault="005820A6" w:rsidP="005820A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5820A6" w14:paraId="5BB04C58" w14:textId="77777777" w:rsidTr="005820A6">
        <w:trPr>
          <w:tblHeader/>
        </w:trPr>
        <w:tc>
          <w:tcPr>
            <w:tcW w:w="2660" w:type="dxa"/>
            <w:shd w:val="clear" w:color="auto" w:fill="C45911" w:themeFill="accent2" w:themeFillShade="BF"/>
          </w:tcPr>
          <w:p w14:paraId="04384824" w14:textId="77777777" w:rsidR="005820A6" w:rsidRDefault="005820A6" w:rsidP="00124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C45911" w:themeFill="accent2" w:themeFillShade="BF"/>
          </w:tcPr>
          <w:p w14:paraId="7E343FCD" w14:textId="77777777" w:rsidR="005820A6" w:rsidRDefault="005820A6" w:rsidP="00124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14:paraId="35809A8D" w14:textId="77777777" w:rsidR="005820A6" w:rsidRDefault="005820A6" w:rsidP="00124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C45911" w:themeFill="accent2" w:themeFillShade="BF"/>
          </w:tcPr>
          <w:p w14:paraId="21B5EF76" w14:textId="77777777" w:rsidR="005820A6" w:rsidRDefault="005820A6" w:rsidP="00124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5820A6" w14:paraId="3BFA2D42" w14:textId="77777777" w:rsidTr="005820A6">
        <w:trPr>
          <w:tblHeader/>
        </w:trPr>
        <w:tc>
          <w:tcPr>
            <w:tcW w:w="2660" w:type="dxa"/>
            <w:vMerge w:val="restart"/>
            <w:shd w:val="clear" w:color="auto" w:fill="F4B083" w:themeFill="accent2" w:themeFillTint="99"/>
          </w:tcPr>
          <w:p w14:paraId="156DBAF1" w14:textId="77777777" w:rsidR="005820A6" w:rsidRDefault="005820A6" w:rsidP="001241FE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14:paraId="2DA96367" w14:textId="77777777" w:rsidR="005820A6" w:rsidRDefault="005820A6" w:rsidP="001241FE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4B083" w:themeFill="accent2" w:themeFillTint="99"/>
          </w:tcPr>
          <w:p w14:paraId="56573491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8889D2" w14:textId="77777777" w:rsidR="005820A6" w:rsidRPr="00B22648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4B083" w:themeFill="accent2" w:themeFillTint="99"/>
          </w:tcPr>
          <w:p w14:paraId="131C33C1" w14:textId="77777777" w:rsidR="005820A6" w:rsidRPr="00B22648" w:rsidRDefault="005820A6" w:rsidP="001241FE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5820A6" w14:paraId="0A510EF4" w14:textId="77777777" w:rsidTr="005820A6">
        <w:trPr>
          <w:trHeight w:val="344"/>
        </w:trPr>
        <w:tc>
          <w:tcPr>
            <w:tcW w:w="2660" w:type="dxa"/>
            <w:vMerge/>
            <w:shd w:val="clear" w:color="auto" w:fill="F4B083" w:themeFill="accent2" w:themeFillTint="99"/>
          </w:tcPr>
          <w:p w14:paraId="07A71505" w14:textId="77777777" w:rsidR="005820A6" w:rsidRDefault="005820A6" w:rsidP="001241FE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4B083" w:themeFill="accent2" w:themeFillTint="99"/>
          </w:tcPr>
          <w:p w14:paraId="2FDE24B4" w14:textId="77777777" w:rsidR="005820A6" w:rsidRDefault="005820A6" w:rsidP="001241FE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4B083" w:themeFill="accent2" w:themeFillTint="99"/>
          </w:tcPr>
          <w:p w14:paraId="7832D698" w14:textId="77777777" w:rsidR="005820A6" w:rsidRDefault="005820A6" w:rsidP="001241FE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15F70D1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5577D578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14:paraId="71454ABC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820A6" w14:paraId="33B59FDA" w14:textId="77777777" w:rsidTr="005820A6">
        <w:trPr>
          <w:trHeight w:val="709"/>
        </w:trPr>
        <w:tc>
          <w:tcPr>
            <w:tcW w:w="2660" w:type="dxa"/>
          </w:tcPr>
          <w:p w14:paraId="62B75578" w14:textId="77777777" w:rsidR="005820A6" w:rsidRDefault="005820A6" w:rsidP="001241FE">
            <w:r>
              <w:t>Industrial denatured alcohol (IDA) is highly flammable</w:t>
            </w:r>
          </w:p>
        </w:tc>
        <w:tc>
          <w:tcPr>
            <w:tcW w:w="2551" w:type="dxa"/>
          </w:tcPr>
          <w:p w14:paraId="2E56CA97" w14:textId="77777777" w:rsidR="005820A6" w:rsidRDefault="005820A6" w:rsidP="001241FE">
            <w:r>
              <w:t>Technician, Demonstrator by burns</w:t>
            </w:r>
          </w:p>
        </w:tc>
        <w:tc>
          <w:tcPr>
            <w:tcW w:w="6237" w:type="dxa"/>
          </w:tcPr>
          <w:p w14:paraId="52A6CF35" w14:textId="77777777" w:rsidR="005820A6" w:rsidRDefault="005820A6" w:rsidP="001241FE">
            <w:r>
              <w:t>Wear eye protection</w:t>
            </w:r>
          </w:p>
          <w:p w14:paraId="6468019D" w14:textId="77777777" w:rsidR="005820A6" w:rsidRDefault="005820A6" w:rsidP="001241FE"/>
          <w:p w14:paraId="0512CA51" w14:textId="6718C584" w:rsidR="005820A6" w:rsidRPr="008D6849" w:rsidRDefault="005820A6" w:rsidP="001241FE">
            <w:pPr>
              <w:rPr>
                <w:rFonts w:cs="Tahoma"/>
              </w:rPr>
            </w:pPr>
            <w:r w:rsidRPr="008D6849">
              <w:rPr>
                <w:rFonts w:cs="Tahoma"/>
              </w:rPr>
              <w:t xml:space="preserve">Keep </w:t>
            </w:r>
            <w:r>
              <w:rPr>
                <w:rFonts w:cs="Tahoma"/>
              </w:rPr>
              <w:t xml:space="preserve">container </w:t>
            </w:r>
            <w:r w:rsidRPr="008D6849">
              <w:rPr>
                <w:rFonts w:cs="Tahoma"/>
              </w:rPr>
              <w:t>well away from any sources of ignition</w:t>
            </w:r>
            <w:r w:rsidR="008A1291">
              <w:rPr>
                <w:rFonts w:cs="Tahoma"/>
              </w:rPr>
              <w:t>.</w:t>
            </w:r>
          </w:p>
          <w:p w14:paraId="3CE83694" w14:textId="77777777" w:rsidR="005820A6" w:rsidRDefault="005820A6" w:rsidP="001241FE"/>
        </w:tc>
        <w:tc>
          <w:tcPr>
            <w:tcW w:w="1134" w:type="dxa"/>
          </w:tcPr>
          <w:p w14:paraId="3382AB9A" w14:textId="77777777" w:rsidR="005820A6" w:rsidRDefault="005820A6" w:rsidP="001241FE"/>
        </w:tc>
        <w:tc>
          <w:tcPr>
            <w:tcW w:w="993" w:type="dxa"/>
          </w:tcPr>
          <w:p w14:paraId="36FDF2A3" w14:textId="77777777" w:rsidR="005820A6" w:rsidRDefault="005820A6" w:rsidP="001241FE"/>
        </w:tc>
        <w:tc>
          <w:tcPr>
            <w:tcW w:w="708" w:type="dxa"/>
          </w:tcPr>
          <w:p w14:paraId="475219D3" w14:textId="77777777" w:rsidR="005820A6" w:rsidRDefault="005820A6" w:rsidP="001241FE"/>
        </w:tc>
      </w:tr>
      <w:tr w:rsidR="005820A6" w14:paraId="5E07B69A" w14:textId="77777777" w:rsidTr="005820A6">
        <w:trPr>
          <w:trHeight w:val="718"/>
        </w:trPr>
        <w:tc>
          <w:tcPr>
            <w:tcW w:w="2660" w:type="dxa"/>
          </w:tcPr>
          <w:p w14:paraId="59C22CC2" w14:textId="3CB5F706" w:rsidR="005820A6" w:rsidRDefault="00EA6EC2" w:rsidP="001241FE">
            <w:r>
              <w:t xml:space="preserve">Ethanal fumes are </w:t>
            </w:r>
            <w:r w:rsidR="00F03F59">
              <w:t xml:space="preserve">irritating to the eyes and respiratory </w:t>
            </w:r>
            <w:proofErr w:type="gramStart"/>
            <w:r w:rsidR="00F03F59">
              <w:t>system</w:t>
            </w:r>
            <w:proofErr w:type="gramEnd"/>
            <w:r w:rsidR="00F03F59">
              <w:t xml:space="preserve"> and </w:t>
            </w:r>
            <w:r w:rsidR="00F62BE5">
              <w:t>it is a suspected carcinogen</w:t>
            </w:r>
          </w:p>
        </w:tc>
        <w:tc>
          <w:tcPr>
            <w:tcW w:w="2551" w:type="dxa"/>
          </w:tcPr>
          <w:p w14:paraId="093C0205" w14:textId="7FEBC754" w:rsidR="005820A6" w:rsidRDefault="005820A6" w:rsidP="001241FE">
            <w:r>
              <w:t xml:space="preserve">Demonstrator </w:t>
            </w:r>
            <w:r w:rsidR="00F62BE5">
              <w:t xml:space="preserve">(or pupils) smelling the </w:t>
            </w:r>
            <w:r w:rsidR="00631389">
              <w:t>vapour</w:t>
            </w:r>
          </w:p>
        </w:tc>
        <w:tc>
          <w:tcPr>
            <w:tcW w:w="6237" w:type="dxa"/>
          </w:tcPr>
          <w:p w14:paraId="618208C5" w14:textId="1FF52A91" w:rsidR="005820A6" w:rsidRDefault="00631389" w:rsidP="001241FE">
            <w:r>
              <w:t>Vapour should be smelled</w:t>
            </w:r>
            <w:r w:rsidR="007775F8">
              <w:t xml:space="preserve"> only</w:t>
            </w:r>
            <w:r>
              <w:t xml:space="preserve"> briefly and using appropriate wafting technique.</w:t>
            </w:r>
          </w:p>
        </w:tc>
        <w:tc>
          <w:tcPr>
            <w:tcW w:w="1134" w:type="dxa"/>
          </w:tcPr>
          <w:p w14:paraId="5497672D" w14:textId="77777777" w:rsidR="005820A6" w:rsidRDefault="005820A6" w:rsidP="001241FE"/>
        </w:tc>
        <w:tc>
          <w:tcPr>
            <w:tcW w:w="993" w:type="dxa"/>
          </w:tcPr>
          <w:p w14:paraId="4F5DFB9E" w14:textId="77777777" w:rsidR="005820A6" w:rsidRDefault="005820A6" w:rsidP="001241FE"/>
        </w:tc>
        <w:tc>
          <w:tcPr>
            <w:tcW w:w="708" w:type="dxa"/>
          </w:tcPr>
          <w:p w14:paraId="638AC72B" w14:textId="77777777" w:rsidR="005820A6" w:rsidRDefault="005820A6" w:rsidP="001241FE"/>
        </w:tc>
      </w:tr>
      <w:tr w:rsidR="005A0650" w14:paraId="480C48E5" w14:textId="77777777" w:rsidTr="005820A6">
        <w:trPr>
          <w:trHeight w:val="718"/>
        </w:trPr>
        <w:tc>
          <w:tcPr>
            <w:tcW w:w="2660" w:type="dxa"/>
          </w:tcPr>
          <w:p w14:paraId="27CF0456" w14:textId="12C82554" w:rsidR="005A0650" w:rsidRDefault="005A0650" w:rsidP="001241FE">
            <w:r>
              <w:t xml:space="preserve">The coin </w:t>
            </w:r>
            <w:r w:rsidR="00AB24BD">
              <w:t>will remain very hot for the duration of the activity</w:t>
            </w:r>
          </w:p>
        </w:tc>
        <w:tc>
          <w:tcPr>
            <w:tcW w:w="2551" w:type="dxa"/>
          </w:tcPr>
          <w:p w14:paraId="4BE62850" w14:textId="5A0B5F6C" w:rsidR="005A0650" w:rsidRDefault="00AB24BD" w:rsidP="001241FE">
            <w:r>
              <w:t xml:space="preserve">Demonstrator, pupils, technician by burns </w:t>
            </w:r>
            <w:r w:rsidR="009D7948">
              <w:t>from handling the coin.</w:t>
            </w:r>
          </w:p>
        </w:tc>
        <w:tc>
          <w:tcPr>
            <w:tcW w:w="6237" w:type="dxa"/>
          </w:tcPr>
          <w:p w14:paraId="57A5736E" w14:textId="3655A96B" w:rsidR="005A0650" w:rsidRDefault="009D7948" w:rsidP="001241FE">
            <w:r>
              <w:t>Allow to cool at the end of the wire (or drop in cold water) before handling.</w:t>
            </w:r>
          </w:p>
        </w:tc>
        <w:tc>
          <w:tcPr>
            <w:tcW w:w="1134" w:type="dxa"/>
          </w:tcPr>
          <w:p w14:paraId="014A3229" w14:textId="77777777" w:rsidR="005A0650" w:rsidRDefault="005A0650" w:rsidP="001241FE"/>
        </w:tc>
        <w:tc>
          <w:tcPr>
            <w:tcW w:w="993" w:type="dxa"/>
          </w:tcPr>
          <w:p w14:paraId="1672F14A" w14:textId="77777777" w:rsidR="005A0650" w:rsidRDefault="005A0650" w:rsidP="001241FE"/>
        </w:tc>
        <w:tc>
          <w:tcPr>
            <w:tcW w:w="708" w:type="dxa"/>
          </w:tcPr>
          <w:p w14:paraId="529F65AC" w14:textId="77777777" w:rsidR="005A0650" w:rsidRDefault="005A0650" w:rsidP="001241FE"/>
        </w:tc>
      </w:tr>
    </w:tbl>
    <w:tbl>
      <w:tblPr>
        <w:tblpPr w:leftFromText="180" w:rightFromText="180" w:vertAnchor="text" w:horzAnchor="margin" w:tblpY="717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5820A6" w14:paraId="148633FF" w14:textId="77777777" w:rsidTr="008123F9">
        <w:trPr>
          <w:trHeight w:val="1406"/>
        </w:trPr>
        <w:tc>
          <w:tcPr>
            <w:tcW w:w="14312" w:type="dxa"/>
          </w:tcPr>
          <w:p w14:paraId="193E0F39" w14:textId="77777777" w:rsidR="005820A6" w:rsidRDefault="005820A6" w:rsidP="005820A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CDABD78" w14:textId="77777777" w:rsidR="005820A6" w:rsidRDefault="005820A6" w:rsidP="005820A6"/>
          <w:p w14:paraId="6EA39489" w14:textId="30D8397B" w:rsidR="005820A6" w:rsidRDefault="005A0650" w:rsidP="005820A6">
            <w:r>
              <w:t xml:space="preserve">Vapours of </w:t>
            </w:r>
            <w:r w:rsidR="007775F8">
              <w:t xml:space="preserve">IDA (methylated spirits) is oxidised to ethanal (acetaldehyde) by </w:t>
            </w:r>
            <w:r>
              <w:t>the copper oxide on a hot copper coin.</w:t>
            </w:r>
          </w:p>
        </w:tc>
      </w:tr>
    </w:tbl>
    <w:p w14:paraId="64770BFA" w14:textId="77777777" w:rsidR="005820A6" w:rsidRDefault="005820A6" w:rsidP="005820A6">
      <w:pPr>
        <w:rPr>
          <w:sz w:val="28"/>
        </w:rPr>
      </w:pPr>
    </w:p>
    <w:p w14:paraId="4E50C239" w14:textId="77777777" w:rsidR="005820A6" w:rsidRDefault="005820A6" w:rsidP="005820A6">
      <w:pPr>
        <w:rPr>
          <w:sz w:val="28"/>
        </w:rPr>
      </w:pPr>
    </w:p>
    <w:p w14:paraId="0B37DD93" w14:textId="77777777" w:rsidR="005820A6" w:rsidRDefault="005820A6" w:rsidP="005820A6">
      <w:pPr>
        <w:rPr>
          <w:sz w:val="28"/>
        </w:rPr>
      </w:pPr>
    </w:p>
    <w:p w14:paraId="793C1436" w14:textId="77777777" w:rsidR="005820A6" w:rsidRDefault="005820A6" w:rsidP="005820A6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5820A6" w14:paraId="505DBFC3" w14:textId="77777777" w:rsidTr="008123F9">
        <w:trPr>
          <w:trHeight w:val="2509"/>
        </w:trPr>
        <w:tc>
          <w:tcPr>
            <w:tcW w:w="14312" w:type="dxa"/>
          </w:tcPr>
          <w:p w14:paraId="10E04438" w14:textId="77777777" w:rsidR="005820A6" w:rsidRDefault="005820A6" w:rsidP="001241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06A5E1B4" w14:textId="77777777" w:rsidR="005820A6" w:rsidRDefault="005820A6" w:rsidP="001241FE"/>
          <w:p w14:paraId="35E82F1A" w14:textId="2647A205" w:rsidR="005820A6" w:rsidRDefault="009D7948" w:rsidP="001241FE">
            <w:r>
              <w:t>Do NOT use methanol. As well as being much more flammable and likely to catch fire, methanol</w:t>
            </w:r>
            <w:r w:rsidR="0079738B">
              <w:t xml:space="preserve"> fumes</w:t>
            </w:r>
            <w:r>
              <w:t xml:space="preserve"> </w:t>
            </w:r>
            <w:r w:rsidR="0079738B">
              <w:t>themselves are</w:t>
            </w:r>
            <w:r>
              <w:t xml:space="preserve"> </w:t>
            </w:r>
            <w:r w:rsidR="0079738B">
              <w:t xml:space="preserve">toxic and the methanal (formaldehyde) that is produced </w:t>
            </w:r>
            <w:r w:rsidR="008123F9">
              <w:t>is also toxic and possibly carcinogenic.</w:t>
            </w:r>
          </w:p>
          <w:p w14:paraId="2763BCDB" w14:textId="77777777" w:rsidR="005820A6" w:rsidRDefault="005820A6" w:rsidP="001241FE"/>
          <w:p w14:paraId="3850F12E" w14:textId="77777777" w:rsidR="005820A6" w:rsidRPr="00240126" w:rsidRDefault="005820A6" w:rsidP="001241FE">
            <w:pPr>
              <w:rPr>
                <w:b/>
              </w:rPr>
            </w:pPr>
          </w:p>
          <w:p w14:paraId="2652C509" w14:textId="77777777" w:rsidR="005820A6" w:rsidRDefault="005820A6" w:rsidP="008123F9"/>
        </w:tc>
      </w:tr>
    </w:tbl>
    <w:p w14:paraId="37927F58" w14:textId="77777777" w:rsidR="005820A6" w:rsidRDefault="005820A6" w:rsidP="005820A6">
      <w:pPr>
        <w:rPr>
          <w:sz w:val="28"/>
        </w:rPr>
      </w:pPr>
    </w:p>
    <w:p w14:paraId="27AA8AD8" w14:textId="77777777" w:rsidR="005820A6" w:rsidRDefault="005820A6"/>
    <w:sectPr w:rsidR="005820A6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CECE" w14:textId="77777777" w:rsidR="00000000" w:rsidRDefault="008123F9">
      <w:r>
        <w:separator/>
      </w:r>
    </w:p>
  </w:endnote>
  <w:endnote w:type="continuationSeparator" w:id="0">
    <w:p w14:paraId="79B51A6A" w14:textId="77777777" w:rsidR="00000000" w:rsidRDefault="0081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23F6" w14:textId="77777777" w:rsidR="00CB5779" w:rsidRDefault="00812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196E" w14:textId="77777777" w:rsidR="00817893" w:rsidRDefault="005820A6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3B22" w14:textId="77777777" w:rsidR="00CB5779" w:rsidRDefault="0081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C0DE" w14:textId="77777777" w:rsidR="00000000" w:rsidRDefault="008123F9">
      <w:r>
        <w:separator/>
      </w:r>
    </w:p>
  </w:footnote>
  <w:footnote w:type="continuationSeparator" w:id="0">
    <w:p w14:paraId="1B87398E" w14:textId="77777777" w:rsidR="00000000" w:rsidRDefault="0081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6607" w14:textId="77777777" w:rsidR="00CB5779" w:rsidRDefault="00812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A9C3" w14:textId="77777777" w:rsidR="00CB5779" w:rsidRDefault="00812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9E32" w14:textId="77777777" w:rsidR="00CB5779" w:rsidRDefault="00812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A6"/>
    <w:rsid w:val="005820A6"/>
    <w:rsid w:val="005A0650"/>
    <w:rsid w:val="00631389"/>
    <w:rsid w:val="007775F8"/>
    <w:rsid w:val="0079738B"/>
    <w:rsid w:val="008123F9"/>
    <w:rsid w:val="008A1291"/>
    <w:rsid w:val="009D7948"/>
    <w:rsid w:val="00AB24BD"/>
    <w:rsid w:val="00EA6EC2"/>
    <w:rsid w:val="00F03F59"/>
    <w:rsid w:val="00F6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4ACC"/>
  <w15:chartTrackingRefBased/>
  <w15:docId w15:val="{AA0E6659-38CE-4B51-932D-B2531706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A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20A6"/>
    <w:pPr>
      <w:keepNext/>
      <w:outlineLvl w:val="0"/>
    </w:pPr>
    <w:rPr>
      <w:rFonts w:ascii="Helvetica" w:hAnsi="Helvetica"/>
      <w:i/>
      <w:sz w:val="144"/>
    </w:rPr>
  </w:style>
  <w:style w:type="paragraph" w:styleId="Heading6">
    <w:name w:val="heading 6"/>
    <w:basedOn w:val="Normal"/>
    <w:next w:val="Normal"/>
    <w:link w:val="Heading6Char"/>
    <w:qFormat/>
    <w:rsid w:val="005820A6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0A6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820A6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5820A6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5820A6"/>
  </w:style>
  <w:style w:type="character" w:customStyle="1" w:styleId="SalutationChar">
    <w:name w:val="Salutation Char"/>
    <w:basedOn w:val="DefaultParagraphFont"/>
    <w:link w:val="Salutation"/>
    <w:semiHidden/>
    <w:rsid w:val="005820A6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5820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820A6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5820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820A6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58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5" ma:contentTypeDescription="Create a new document." ma:contentTypeScope="" ma:versionID="27f4b1049b744d856be024cf368fa110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9e77f27d2e5cfcc18932ee162a7851ab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FFF66-A1FD-4E29-9174-3B8024A2740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772558-0754-4849-B252-E5361335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DE5C9-2566-4768-A933-44171BEC6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12</cp:revision>
  <dcterms:created xsi:type="dcterms:W3CDTF">2020-03-18T12:01:00Z</dcterms:created>
  <dcterms:modified xsi:type="dcterms:W3CDTF">2021-10-22T15:07:00Z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