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4C2547A4" w:rsidR="00DB4B85" w:rsidRDefault="00331688" w:rsidP="00DB4B85">
            <w:r>
              <w:t>Preparation of potassium trioxalatoferrate</w:t>
            </w:r>
            <w:r w:rsidR="00B31149">
              <w:t xml:space="preserve"> </w:t>
            </w:r>
            <w:r w:rsidR="002C03A4">
              <w:t>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039142DC" w:rsidR="00DB4B85" w:rsidRDefault="00301642" w:rsidP="00DB4B85">
            <w:r>
              <w:t>26th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51A98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49E6C833" w:rsidR="00951A98" w:rsidRPr="00EE75B8" w:rsidRDefault="00373222" w:rsidP="00951A98">
            <w:r>
              <w:t>Ammonium iron II sulphate</w:t>
            </w:r>
            <w:r w:rsidR="00BE0217">
              <w:t xml:space="preserve"> is a skin, eye and respiratory irritant.</w:t>
            </w:r>
          </w:p>
        </w:tc>
        <w:tc>
          <w:tcPr>
            <w:tcW w:w="2410" w:type="dxa"/>
          </w:tcPr>
          <w:p w14:paraId="3BE3D608" w14:textId="73310B97" w:rsidR="00951A98" w:rsidRPr="00620FE1" w:rsidRDefault="00951A98" w:rsidP="00951A98">
            <w:pPr>
              <w:rPr>
                <w:lang w:val="en-GB"/>
              </w:rPr>
            </w:pPr>
            <w:r>
              <w:t xml:space="preserve">Technician preparing </w:t>
            </w:r>
            <w:r w:rsidRPr="00620FE1">
              <w:rPr>
                <w:lang w:val="en-GB"/>
              </w:rPr>
              <w:t>solution</w:t>
            </w:r>
            <w:r>
              <w:t xml:space="preserve"> by inhaling vapour.</w:t>
            </w:r>
          </w:p>
        </w:tc>
        <w:tc>
          <w:tcPr>
            <w:tcW w:w="5499" w:type="dxa"/>
          </w:tcPr>
          <w:p w14:paraId="2E96B76A" w14:textId="4A694FCD" w:rsidR="00951A98" w:rsidRPr="00EE75B8" w:rsidRDefault="00951A98" w:rsidP="00951A98">
            <w:r>
              <w:t>Work in a well</w:t>
            </w:r>
            <w:r w:rsidR="00620FE1">
              <w:t>-</w:t>
            </w:r>
            <w:r>
              <w:t>ventilated laboratory.</w:t>
            </w:r>
          </w:p>
        </w:tc>
        <w:tc>
          <w:tcPr>
            <w:tcW w:w="1134" w:type="dxa"/>
          </w:tcPr>
          <w:p w14:paraId="6707346C" w14:textId="77777777" w:rsidR="00951A98" w:rsidRDefault="00951A98" w:rsidP="00951A98"/>
        </w:tc>
        <w:tc>
          <w:tcPr>
            <w:tcW w:w="993" w:type="dxa"/>
          </w:tcPr>
          <w:p w14:paraId="1A73080D" w14:textId="77777777" w:rsidR="00951A98" w:rsidRDefault="00951A98" w:rsidP="00951A98"/>
        </w:tc>
        <w:tc>
          <w:tcPr>
            <w:tcW w:w="708" w:type="dxa"/>
          </w:tcPr>
          <w:p w14:paraId="4A089504" w14:textId="77777777" w:rsidR="00951A98" w:rsidRDefault="00951A98" w:rsidP="00951A98"/>
        </w:tc>
      </w:tr>
      <w:tr w:rsidR="00951A98" w14:paraId="74FC59A8" w14:textId="77777777" w:rsidTr="00F3791C">
        <w:trPr>
          <w:trHeight w:val="709"/>
        </w:trPr>
        <w:tc>
          <w:tcPr>
            <w:tcW w:w="3539" w:type="dxa"/>
          </w:tcPr>
          <w:p w14:paraId="06B0A50D" w14:textId="77777777" w:rsidR="00951A98" w:rsidRDefault="003A3A6B" w:rsidP="00951A98">
            <w:r>
              <w:t>Ethanedioic acid</w:t>
            </w:r>
            <w:r w:rsidR="0012110A">
              <w:t xml:space="preserve"> is harmful if swallowed or in contact with the skin.</w:t>
            </w:r>
          </w:p>
          <w:p w14:paraId="75D760AF" w14:textId="6896F724" w:rsidR="0012110A" w:rsidRDefault="0012110A" w:rsidP="00951A98">
            <w:r>
              <w:t>The 10</w:t>
            </w:r>
            <w:r w:rsidR="0044643B">
              <w:t>% solution is of no significant hazard</w:t>
            </w:r>
          </w:p>
        </w:tc>
        <w:tc>
          <w:tcPr>
            <w:tcW w:w="2410" w:type="dxa"/>
          </w:tcPr>
          <w:p w14:paraId="62A50039" w14:textId="3A2B4CA2" w:rsidR="00951A98" w:rsidRDefault="00951A98" w:rsidP="00951A98"/>
        </w:tc>
        <w:tc>
          <w:tcPr>
            <w:tcW w:w="5499" w:type="dxa"/>
          </w:tcPr>
          <w:p w14:paraId="6F068536" w14:textId="451E6591" w:rsidR="00951A98" w:rsidRDefault="00951A98" w:rsidP="00951A98"/>
        </w:tc>
        <w:tc>
          <w:tcPr>
            <w:tcW w:w="1134" w:type="dxa"/>
          </w:tcPr>
          <w:p w14:paraId="68316825" w14:textId="77777777" w:rsidR="00951A98" w:rsidRDefault="00951A98" w:rsidP="00951A98"/>
        </w:tc>
        <w:tc>
          <w:tcPr>
            <w:tcW w:w="993" w:type="dxa"/>
          </w:tcPr>
          <w:p w14:paraId="4A753346" w14:textId="77777777" w:rsidR="00951A98" w:rsidRDefault="00951A98" w:rsidP="00951A98"/>
        </w:tc>
        <w:tc>
          <w:tcPr>
            <w:tcW w:w="708" w:type="dxa"/>
          </w:tcPr>
          <w:p w14:paraId="0D3CEA7C" w14:textId="77777777" w:rsidR="00951A98" w:rsidRDefault="00951A98" w:rsidP="00951A98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7947AD59" w14:textId="77777777" w:rsidR="0044643B" w:rsidRDefault="003A3A6B" w:rsidP="0044643B">
            <w:r>
              <w:t>Potassium ethanedioate.</w:t>
            </w:r>
            <w:r w:rsidR="0044643B">
              <w:t xml:space="preserve"> acid is harmful if swallowed or in contact with the skin.</w:t>
            </w:r>
          </w:p>
          <w:p w14:paraId="454CBAD7" w14:textId="2FF88A63" w:rsidR="00E36775" w:rsidRPr="00EE75B8" w:rsidRDefault="0044643B" w:rsidP="0044643B">
            <w:r>
              <w:t>The 30% solution has the same hazards</w:t>
            </w:r>
          </w:p>
        </w:tc>
        <w:tc>
          <w:tcPr>
            <w:tcW w:w="2410" w:type="dxa"/>
          </w:tcPr>
          <w:p w14:paraId="2BA8AA64" w14:textId="5BC78C57" w:rsidR="000A2F15" w:rsidRPr="00EE75B8" w:rsidRDefault="000A2F15" w:rsidP="000A2F15"/>
        </w:tc>
        <w:tc>
          <w:tcPr>
            <w:tcW w:w="5499" w:type="dxa"/>
          </w:tcPr>
          <w:p w14:paraId="009D8178" w14:textId="37AF511D" w:rsidR="000A2F15" w:rsidRPr="00EE75B8" w:rsidRDefault="000A2F15" w:rsidP="000A2F15"/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  <w:tr w:rsidR="003A5B98" w14:paraId="156B1DD7" w14:textId="77777777" w:rsidTr="00F3791C">
        <w:trPr>
          <w:trHeight w:val="709"/>
        </w:trPr>
        <w:tc>
          <w:tcPr>
            <w:tcW w:w="3539" w:type="dxa"/>
          </w:tcPr>
          <w:p w14:paraId="0771A14A" w14:textId="3672FD05" w:rsidR="003A5B98" w:rsidRDefault="003A5B98" w:rsidP="003A5B98">
            <w:r>
              <w:t>Sulphuric acid is highly corrosive.</w:t>
            </w:r>
          </w:p>
        </w:tc>
        <w:tc>
          <w:tcPr>
            <w:tcW w:w="2410" w:type="dxa"/>
          </w:tcPr>
          <w:p w14:paraId="2D45493C" w14:textId="74617B3C" w:rsidR="003A5B98" w:rsidRDefault="003A5B98" w:rsidP="003A5B98">
            <w:r>
              <w:t>Technician while preparing the solution by splashes.</w:t>
            </w:r>
          </w:p>
        </w:tc>
        <w:tc>
          <w:tcPr>
            <w:tcW w:w="5499" w:type="dxa"/>
          </w:tcPr>
          <w:p w14:paraId="561742DC" w14:textId="5AC1A581" w:rsidR="003A5B98" w:rsidRDefault="003A5B98" w:rsidP="003A5B98">
            <w:r>
              <w:t>Wear goggles (BS EN166 3) or a face shield and gloves.</w:t>
            </w:r>
          </w:p>
        </w:tc>
        <w:tc>
          <w:tcPr>
            <w:tcW w:w="1134" w:type="dxa"/>
          </w:tcPr>
          <w:p w14:paraId="556CD760" w14:textId="77777777" w:rsidR="003A5B98" w:rsidRDefault="003A5B98" w:rsidP="003A5B98"/>
        </w:tc>
        <w:tc>
          <w:tcPr>
            <w:tcW w:w="993" w:type="dxa"/>
          </w:tcPr>
          <w:p w14:paraId="4B8F5577" w14:textId="77777777" w:rsidR="003A5B98" w:rsidRDefault="003A5B98" w:rsidP="003A5B98"/>
        </w:tc>
        <w:tc>
          <w:tcPr>
            <w:tcW w:w="708" w:type="dxa"/>
          </w:tcPr>
          <w:p w14:paraId="54CE9D08" w14:textId="77777777" w:rsidR="003A5B98" w:rsidRDefault="003A5B98" w:rsidP="003A5B98"/>
        </w:tc>
      </w:tr>
      <w:tr w:rsidR="00E5412A" w14:paraId="7D241F77" w14:textId="77777777" w:rsidTr="00F3791C">
        <w:trPr>
          <w:trHeight w:val="709"/>
        </w:trPr>
        <w:tc>
          <w:tcPr>
            <w:tcW w:w="3539" w:type="dxa"/>
          </w:tcPr>
          <w:p w14:paraId="3960D39D" w14:textId="569F1649" w:rsidR="00E5412A" w:rsidRDefault="00373222" w:rsidP="003A5B98">
            <w:r>
              <w:t>2</w:t>
            </w:r>
            <w:r w:rsidR="00E5412A">
              <w:t xml:space="preserve">.0 molar sulphuric acid is </w:t>
            </w:r>
            <w:r>
              <w:t>also corrosive</w:t>
            </w:r>
          </w:p>
        </w:tc>
        <w:tc>
          <w:tcPr>
            <w:tcW w:w="2410" w:type="dxa"/>
          </w:tcPr>
          <w:p w14:paraId="52A30567" w14:textId="474FAC74" w:rsidR="00E5412A" w:rsidRPr="001E7C91" w:rsidRDefault="00620FE1" w:rsidP="003A5B98">
            <w:pPr>
              <w:rPr>
                <w:lang w:val="en-GB"/>
              </w:rPr>
            </w:pPr>
            <w:r>
              <w:rPr>
                <w:lang w:val="en-GB"/>
              </w:rPr>
              <w:t>Pupil/teacher while carrying out reaction by splashes</w:t>
            </w:r>
          </w:p>
        </w:tc>
        <w:tc>
          <w:tcPr>
            <w:tcW w:w="5499" w:type="dxa"/>
          </w:tcPr>
          <w:p w14:paraId="53131250" w14:textId="1280C965" w:rsidR="00E5412A" w:rsidRDefault="00620FE1" w:rsidP="003A5B98">
            <w:r>
              <w:t xml:space="preserve">Wear </w:t>
            </w:r>
            <w:r w:rsidR="00373222">
              <w:t>goggles (BS EN166 3)</w:t>
            </w:r>
          </w:p>
        </w:tc>
        <w:tc>
          <w:tcPr>
            <w:tcW w:w="1134" w:type="dxa"/>
          </w:tcPr>
          <w:p w14:paraId="1DB2755C" w14:textId="77777777" w:rsidR="00E5412A" w:rsidRDefault="00E5412A" w:rsidP="003A5B98"/>
        </w:tc>
        <w:tc>
          <w:tcPr>
            <w:tcW w:w="993" w:type="dxa"/>
          </w:tcPr>
          <w:p w14:paraId="624D0C48" w14:textId="77777777" w:rsidR="00E5412A" w:rsidRDefault="00E5412A" w:rsidP="003A5B98"/>
        </w:tc>
        <w:tc>
          <w:tcPr>
            <w:tcW w:w="708" w:type="dxa"/>
          </w:tcPr>
          <w:p w14:paraId="40DD1965" w14:textId="77777777" w:rsidR="00E5412A" w:rsidRDefault="00E5412A" w:rsidP="003A5B98"/>
        </w:tc>
      </w:tr>
      <w:tr w:rsidR="00A60C46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2086C97E" w:rsidR="00A60C46" w:rsidRPr="00EE75B8" w:rsidRDefault="00550D24" w:rsidP="00A60C46">
            <w:r>
              <w:t xml:space="preserve">30% (100 vol) </w:t>
            </w:r>
            <w:r w:rsidR="008B285B">
              <w:t>Hydrogen peroxide</w:t>
            </w:r>
            <w:r>
              <w:t xml:space="preserve"> is corrosive to skin and eyes</w:t>
            </w:r>
          </w:p>
        </w:tc>
        <w:tc>
          <w:tcPr>
            <w:tcW w:w="2410" w:type="dxa"/>
          </w:tcPr>
          <w:p w14:paraId="23147E2A" w14:textId="07990935" w:rsidR="00A60C46" w:rsidRPr="00EE75B8" w:rsidRDefault="00550D24" w:rsidP="00A60C46">
            <w:r>
              <w:t>Technician by splashes preparing 20 vol solution</w:t>
            </w:r>
          </w:p>
        </w:tc>
        <w:tc>
          <w:tcPr>
            <w:tcW w:w="5499" w:type="dxa"/>
          </w:tcPr>
          <w:p w14:paraId="6438DCC9" w14:textId="252B6CCE" w:rsidR="00A60C46" w:rsidRPr="00EE75B8" w:rsidRDefault="00550D24" w:rsidP="00A60C46">
            <w:r>
              <w:t xml:space="preserve">Wear goggles (BS EN166 3) and gloves. </w:t>
            </w:r>
          </w:p>
        </w:tc>
        <w:tc>
          <w:tcPr>
            <w:tcW w:w="1134" w:type="dxa"/>
          </w:tcPr>
          <w:p w14:paraId="747AE874" w14:textId="77777777" w:rsidR="00A60C46" w:rsidRDefault="00A60C46" w:rsidP="00A60C46"/>
        </w:tc>
        <w:tc>
          <w:tcPr>
            <w:tcW w:w="993" w:type="dxa"/>
          </w:tcPr>
          <w:p w14:paraId="2A349763" w14:textId="77777777" w:rsidR="00A60C46" w:rsidRDefault="00A60C46" w:rsidP="00A60C46"/>
        </w:tc>
        <w:tc>
          <w:tcPr>
            <w:tcW w:w="708" w:type="dxa"/>
          </w:tcPr>
          <w:p w14:paraId="3EA08483" w14:textId="77777777" w:rsidR="00A60C46" w:rsidRDefault="00A60C46" w:rsidP="00A60C46"/>
        </w:tc>
      </w:tr>
      <w:tr w:rsidR="00A60C46" w14:paraId="295B6F1C" w14:textId="77777777" w:rsidTr="00F3791C">
        <w:trPr>
          <w:trHeight w:val="709"/>
        </w:trPr>
        <w:tc>
          <w:tcPr>
            <w:tcW w:w="3539" w:type="dxa"/>
          </w:tcPr>
          <w:p w14:paraId="21B68833" w14:textId="3941DA73" w:rsidR="00A60C46" w:rsidRPr="00EE75B8" w:rsidRDefault="00550D24" w:rsidP="00A60C46">
            <w:r>
              <w:lastRenderedPageBreak/>
              <w:t>20 vol hydrogen peroxide is a</w:t>
            </w:r>
            <w:r w:rsidR="00492119">
              <w:t xml:space="preserve"> skin/eye</w:t>
            </w:r>
            <w:r>
              <w:t xml:space="preserve"> irritant</w:t>
            </w:r>
            <w:r w:rsidR="00492119">
              <w:t>.</w:t>
            </w:r>
          </w:p>
        </w:tc>
        <w:tc>
          <w:tcPr>
            <w:tcW w:w="2410" w:type="dxa"/>
          </w:tcPr>
          <w:p w14:paraId="7293C8FE" w14:textId="0C1D277E" w:rsidR="00A60C46" w:rsidRPr="00EE75B8" w:rsidRDefault="00492119" w:rsidP="00A60C46">
            <w:r>
              <w:t>Pupil/teacher by splashes during experiment</w:t>
            </w:r>
          </w:p>
        </w:tc>
        <w:tc>
          <w:tcPr>
            <w:tcW w:w="5499" w:type="dxa"/>
          </w:tcPr>
          <w:p w14:paraId="2A92A885" w14:textId="3BE0471D" w:rsidR="00A60C46" w:rsidRPr="00EE75B8" w:rsidRDefault="00492119" w:rsidP="00A60C46">
            <w:r>
              <w:t>Wear eye protection.</w:t>
            </w:r>
          </w:p>
        </w:tc>
        <w:tc>
          <w:tcPr>
            <w:tcW w:w="1134" w:type="dxa"/>
          </w:tcPr>
          <w:p w14:paraId="5757ADB0" w14:textId="77777777" w:rsidR="00A60C46" w:rsidRDefault="00A60C46" w:rsidP="00A60C46"/>
        </w:tc>
        <w:tc>
          <w:tcPr>
            <w:tcW w:w="993" w:type="dxa"/>
          </w:tcPr>
          <w:p w14:paraId="59AF1BB1" w14:textId="77777777" w:rsidR="00A60C46" w:rsidRDefault="00A60C46" w:rsidP="00A60C46"/>
        </w:tc>
        <w:tc>
          <w:tcPr>
            <w:tcW w:w="708" w:type="dxa"/>
          </w:tcPr>
          <w:p w14:paraId="2DC63E94" w14:textId="77777777" w:rsidR="00A60C46" w:rsidRDefault="00A60C46" w:rsidP="00A60C46"/>
        </w:tc>
      </w:tr>
      <w:tr w:rsidR="00A60C46" w14:paraId="73745F49" w14:textId="77777777" w:rsidTr="00F3791C">
        <w:trPr>
          <w:trHeight w:val="709"/>
        </w:trPr>
        <w:tc>
          <w:tcPr>
            <w:tcW w:w="3539" w:type="dxa"/>
          </w:tcPr>
          <w:p w14:paraId="7EB18F31" w14:textId="35F01EAC" w:rsidR="00A60C46" w:rsidRPr="00EE75B8" w:rsidRDefault="00A60C46" w:rsidP="00A60C46"/>
        </w:tc>
        <w:tc>
          <w:tcPr>
            <w:tcW w:w="2410" w:type="dxa"/>
          </w:tcPr>
          <w:p w14:paraId="7CCF58C9" w14:textId="07A1C824" w:rsidR="00A60C46" w:rsidRPr="00EE75B8" w:rsidRDefault="00A60C46" w:rsidP="00A60C46"/>
        </w:tc>
        <w:tc>
          <w:tcPr>
            <w:tcW w:w="5499" w:type="dxa"/>
          </w:tcPr>
          <w:p w14:paraId="398E1F51" w14:textId="21EA55F3" w:rsidR="00A60C46" w:rsidRPr="00EE75B8" w:rsidRDefault="00A60C46" w:rsidP="00A60C46"/>
        </w:tc>
        <w:tc>
          <w:tcPr>
            <w:tcW w:w="1134" w:type="dxa"/>
          </w:tcPr>
          <w:p w14:paraId="1C54297D" w14:textId="77777777" w:rsidR="00A60C46" w:rsidRDefault="00A60C46" w:rsidP="00A60C46"/>
        </w:tc>
        <w:tc>
          <w:tcPr>
            <w:tcW w:w="993" w:type="dxa"/>
          </w:tcPr>
          <w:p w14:paraId="63C869B0" w14:textId="77777777" w:rsidR="00A60C46" w:rsidRDefault="00A60C46" w:rsidP="00A60C46"/>
        </w:tc>
        <w:tc>
          <w:tcPr>
            <w:tcW w:w="708" w:type="dxa"/>
          </w:tcPr>
          <w:p w14:paraId="1A8B7781" w14:textId="77777777" w:rsidR="00A60C46" w:rsidRDefault="00A60C46" w:rsidP="00A60C46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347A76CA" w:rsidR="00B1770E" w:rsidRPr="00433122" w:rsidRDefault="00C555FE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Ammonium iron II sulphate is dissolved in sulphuric acid and heated with ethanedioic acid. </w:t>
            </w:r>
            <w:r w:rsidR="003928A4">
              <w:rPr>
                <w:sz w:val="22"/>
                <w:szCs w:val="22"/>
              </w:rPr>
              <w:t>Potassium oxalate and then hy</w:t>
            </w:r>
            <w:r w:rsidR="007D205F">
              <w:rPr>
                <w:sz w:val="22"/>
                <w:szCs w:val="22"/>
              </w:rPr>
              <w:t>d</w:t>
            </w:r>
            <w:r w:rsidR="003928A4">
              <w:rPr>
                <w:sz w:val="22"/>
                <w:szCs w:val="22"/>
              </w:rPr>
              <w:t xml:space="preserve">rogen peroxide are added. </w:t>
            </w:r>
            <w:r w:rsidR="007D205F">
              <w:rPr>
                <w:sz w:val="22"/>
                <w:szCs w:val="22"/>
              </w:rPr>
              <w:t>Crystals are allowed to form as the solution cools.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2FA61D2D" w:rsidR="003E22A4" w:rsidRDefault="003E22A4" w:rsidP="00AA4034"/>
        </w:tc>
      </w:tr>
    </w:tbl>
    <w:p w14:paraId="412B5F15" w14:textId="77777777" w:rsidR="00185440" w:rsidRDefault="009838E2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853F" w14:textId="77777777" w:rsidR="009838E2" w:rsidRDefault="009838E2">
      <w:r>
        <w:separator/>
      </w:r>
    </w:p>
  </w:endnote>
  <w:endnote w:type="continuationSeparator" w:id="0">
    <w:p w14:paraId="2814FA3E" w14:textId="77777777" w:rsidR="009838E2" w:rsidRDefault="0098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983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983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9F5B" w14:textId="77777777" w:rsidR="009838E2" w:rsidRDefault="009838E2">
      <w:r>
        <w:separator/>
      </w:r>
    </w:p>
  </w:footnote>
  <w:footnote w:type="continuationSeparator" w:id="0">
    <w:p w14:paraId="76C8B1CD" w14:textId="77777777" w:rsidR="009838E2" w:rsidRDefault="0098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983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9838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983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4437"/>
    <w:rsid w:val="000066A3"/>
    <w:rsid w:val="00006788"/>
    <w:rsid w:val="000071DC"/>
    <w:rsid w:val="000147A5"/>
    <w:rsid w:val="00015C72"/>
    <w:rsid w:val="00017495"/>
    <w:rsid w:val="00023F5A"/>
    <w:rsid w:val="00033FE0"/>
    <w:rsid w:val="000411AA"/>
    <w:rsid w:val="00052354"/>
    <w:rsid w:val="00062360"/>
    <w:rsid w:val="00063E3E"/>
    <w:rsid w:val="00063EFC"/>
    <w:rsid w:val="00070124"/>
    <w:rsid w:val="000725D6"/>
    <w:rsid w:val="00073352"/>
    <w:rsid w:val="00075F36"/>
    <w:rsid w:val="00077AC3"/>
    <w:rsid w:val="00094FE7"/>
    <w:rsid w:val="000A0CAD"/>
    <w:rsid w:val="000A1F0E"/>
    <w:rsid w:val="000A2F15"/>
    <w:rsid w:val="000C20CB"/>
    <w:rsid w:val="000E297A"/>
    <w:rsid w:val="000E7345"/>
    <w:rsid w:val="000F100E"/>
    <w:rsid w:val="00107A90"/>
    <w:rsid w:val="00110372"/>
    <w:rsid w:val="00112662"/>
    <w:rsid w:val="00112E90"/>
    <w:rsid w:val="0012110A"/>
    <w:rsid w:val="00125C63"/>
    <w:rsid w:val="00137C36"/>
    <w:rsid w:val="001437B5"/>
    <w:rsid w:val="00145E8A"/>
    <w:rsid w:val="00156F80"/>
    <w:rsid w:val="00167354"/>
    <w:rsid w:val="00176B56"/>
    <w:rsid w:val="001800B9"/>
    <w:rsid w:val="00185D11"/>
    <w:rsid w:val="001A4C37"/>
    <w:rsid w:val="001D1C70"/>
    <w:rsid w:val="001D324A"/>
    <w:rsid w:val="001D5AF0"/>
    <w:rsid w:val="001E2A1B"/>
    <w:rsid w:val="001E7C91"/>
    <w:rsid w:val="001F5077"/>
    <w:rsid w:val="00204988"/>
    <w:rsid w:val="00210072"/>
    <w:rsid w:val="00213734"/>
    <w:rsid w:val="00250762"/>
    <w:rsid w:val="00253512"/>
    <w:rsid w:val="00276A2D"/>
    <w:rsid w:val="00286852"/>
    <w:rsid w:val="002933CE"/>
    <w:rsid w:val="00293F02"/>
    <w:rsid w:val="002A252C"/>
    <w:rsid w:val="002A3876"/>
    <w:rsid w:val="002B13CC"/>
    <w:rsid w:val="002B7A3D"/>
    <w:rsid w:val="002B7C9A"/>
    <w:rsid w:val="002C03A4"/>
    <w:rsid w:val="002C24AE"/>
    <w:rsid w:val="002C4161"/>
    <w:rsid w:val="002C62B9"/>
    <w:rsid w:val="002D42E4"/>
    <w:rsid w:val="002E14C2"/>
    <w:rsid w:val="002E234A"/>
    <w:rsid w:val="002E30EF"/>
    <w:rsid w:val="003000CC"/>
    <w:rsid w:val="00301642"/>
    <w:rsid w:val="003040CB"/>
    <w:rsid w:val="00331688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65470"/>
    <w:rsid w:val="0036666C"/>
    <w:rsid w:val="00371F31"/>
    <w:rsid w:val="003728E5"/>
    <w:rsid w:val="00373222"/>
    <w:rsid w:val="00382822"/>
    <w:rsid w:val="00384A41"/>
    <w:rsid w:val="00385C3E"/>
    <w:rsid w:val="00391B57"/>
    <w:rsid w:val="003928A4"/>
    <w:rsid w:val="00393160"/>
    <w:rsid w:val="00393E7C"/>
    <w:rsid w:val="003A10ED"/>
    <w:rsid w:val="003A3A6B"/>
    <w:rsid w:val="003A5B98"/>
    <w:rsid w:val="003A78B4"/>
    <w:rsid w:val="003B1A8E"/>
    <w:rsid w:val="003B45EE"/>
    <w:rsid w:val="003B606A"/>
    <w:rsid w:val="003B63DF"/>
    <w:rsid w:val="003C2FB5"/>
    <w:rsid w:val="003C4206"/>
    <w:rsid w:val="003D2361"/>
    <w:rsid w:val="003D2DD0"/>
    <w:rsid w:val="003E22A4"/>
    <w:rsid w:val="003E431B"/>
    <w:rsid w:val="003F3EA1"/>
    <w:rsid w:val="004017D9"/>
    <w:rsid w:val="00404D2A"/>
    <w:rsid w:val="00407157"/>
    <w:rsid w:val="00407EDB"/>
    <w:rsid w:val="0042283C"/>
    <w:rsid w:val="00423CD9"/>
    <w:rsid w:val="0042620F"/>
    <w:rsid w:val="00433122"/>
    <w:rsid w:val="00442163"/>
    <w:rsid w:val="0044643B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2119"/>
    <w:rsid w:val="00494A03"/>
    <w:rsid w:val="004A006F"/>
    <w:rsid w:val="004A2034"/>
    <w:rsid w:val="004C4DCD"/>
    <w:rsid w:val="004D39A2"/>
    <w:rsid w:val="004E2074"/>
    <w:rsid w:val="004E3F3E"/>
    <w:rsid w:val="004E6BC3"/>
    <w:rsid w:val="004F1430"/>
    <w:rsid w:val="004F3B78"/>
    <w:rsid w:val="00503775"/>
    <w:rsid w:val="00521D90"/>
    <w:rsid w:val="00524E81"/>
    <w:rsid w:val="005314E9"/>
    <w:rsid w:val="005358BA"/>
    <w:rsid w:val="00550D24"/>
    <w:rsid w:val="00553CA6"/>
    <w:rsid w:val="00554661"/>
    <w:rsid w:val="00566AA0"/>
    <w:rsid w:val="00576931"/>
    <w:rsid w:val="0058088E"/>
    <w:rsid w:val="005902A9"/>
    <w:rsid w:val="00593361"/>
    <w:rsid w:val="005965D9"/>
    <w:rsid w:val="005A07CF"/>
    <w:rsid w:val="005A110E"/>
    <w:rsid w:val="005B29B3"/>
    <w:rsid w:val="005B2F0C"/>
    <w:rsid w:val="005B3308"/>
    <w:rsid w:val="005C1802"/>
    <w:rsid w:val="005C43C5"/>
    <w:rsid w:val="005C60DB"/>
    <w:rsid w:val="005C7CCC"/>
    <w:rsid w:val="005D50F2"/>
    <w:rsid w:val="005E0257"/>
    <w:rsid w:val="005E10D3"/>
    <w:rsid w:val="005E28E9"/>
    <w:rsid w:val="005F10E0"/>
    <w:rsid w:val="0060493A"/>
    <w:rsid w:val="006053B3"/>
    <w:rsid w:val="00620FE1"/>
    <w:rsid w:val="006346B2"/>
    <w:rsid w:val="00635049"/>
    <w:rsid w:val="00635850"/>
    <w:rsid w:val="00635AF4"/>
    <w:rsid w:val="00640D75"/>
    <w:rsid w:val="00652106"/>
    <w:rsid w:val="006529D9"/>
    <w:rsid w:val="0065328D"/>
    <w:rsid w:val="00662428"/>
    <w:rsid w:val="00676D04"/>
    <w:rsid w:val="00677AF7"/>
    <w:rsid w:val="006864CD"/>
    <w:rsid w:val="0069601D"/>
    <w:rsid w:val="006A21FC"/>
    <w:rsid w:val="006A3422"/>
    <w:rsid w:val="006A4B76"/>
    <w:rsid w:val="006B2286"/>
    <w:rsid w:val="006B4D50"/>
    <w:rsid w:val="006C17F9"/>
    <w:rsid w:val="006C370A"/>
    <w:rsid w:val="006D2E20"/>
    <w:rsid w:val="006D5D77"/>
    <w:rsid w:val="006E1CDF"/>
    <w:rsid w:val="006E1DBB"/>
    <w:rsid w:val="006E27A3"/>
    <w:rsid w:val="006E4EBD"/>
    <w:rsid w:val="006F57EA"/>
    <w:rsid w:val="006F76EC"/>
    <w:rsid w:val="007031FF"/>
    <w:rsid w:val="0071543A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19E7"/>
    <w:rsid w:val="00762975"/>
    <w:rsid w:val="00763E0A"/>
    <w:rsid w:val="007663E7"/>
    <w:rsid w:val="00766A9D"/>
    <w:rsid w:val="00767633"/>
    <w:rsid w:val="007754F2"/>
    <w:rsid w:val="00783FD5"/>
    <w:rsid w:val="0078467D"/>
    <w:rsid w:val="00784F60"/>
    <w:rsid w:val="007A237B"/>
    <w:rsid w:val="007A2854"/>
    <w:rsid w:val="007A5D4D"/>
    <w:rsid w:val="007B439F"/>
    <w:rsid w:val="007B4D56"/>
    <w:rsid w:val="007C5619"/>
    <w:rsid w:val="007C7487"/>
    <w:rsid w:val="007D1320"/>
    <w:rsid w:val="007D1ABA"/>
    <w:rsid w:val="007D205F"/>
    <w:rsid w:val="007E20BF"/>
    <w:rsid w:val="007F3A43"/>
    <w:rsid w:val="007F5E3B"/>
    <w:rsid w:val="00804809"/>
    <w:rsid w:val="0081148D"/>
    <w:rsid w:val="00815B75"/>
    <w:rsid w:val="00836CF1"/>
    <w:rsid w:val="008378DA"/>
    <w:rsid w:val="00846323"/>
    <w:rsid w:val="008565CE"/>
    <w:rsid w:val="0085661D"/>
    <w:rsid w:val="00860CBC"/>
    <w:rsid w:val="008621CB"/>
    <w:rsid w:val="00862593"/>
    <w:rsid w:val="00867558"/>
    <w:rsid w:val="00876F92"/>
    <w:rsid w:val="008779A9"/>
    <w:rsid w:val="00877A0B"/>
    <w:rsid w:val="00891A92"/>
    <w:rsid w:val="0089423E"/>
    <w:rsid w:val="0089525B"/>
    <w:rsid w:val="00896FA3"/>
    <w:rsid w:val="008A0857"/>
    <w:rsid w:val="008A4D77"/>
    <w:rsid w:val="008A69B0"/>
    <w:rsid w:val="008B285B"/>
    <w:rsid w:val="008B298A"/>
    <w:rsid w:val="008B3D8B"/>
    <w:rsid w:val="008F0199"/>
    <w:rsid w:val="008F4187"/>
    <w:rsid w:val="00903375"/>
    <w:rsid w:val="009071E0"/>
    <w:rsid w:val="00910910"/>
    <w:rsid w:val="00911379"/>
    <w:rsid w:val="00911D24"/>
    <w:rsid w:val="009133F1"/>
    <w:rsid w:val="00923A07"/>
    <w:rsid w:val="00930AE9"/>
    <w:rsid w:val="00934390"/>
    <w:rsid w:val="00943C2F"/>
    <w:rsid w:val="009443F6"/>
    <w:rsid w:val="009448D5"/>
    <w:rsid w:val="0094799B"/>
    <w:rsid w:val="00951A98"/>
    <w:rsid w:val="009601EF"/>
    <w:rsid w:val="00960E62"/>
    <w:rsid w:val="00966F0F"/>
    <w:rsid w:val="009736C3"/>
    <w:rsid w:val="009738D9"/>
    <w:rsid w:val="00974A2A"/>
    <w:rsid w:val="00976D0E"/>
    <w:rsid w:val="009827B7"/>
    <w:rsid w:val="00982EAE"/>
    <w:rsid w:val="009838E2"/>
    <w:rsid w:val="009A086A"/>
    <w:rsid w:val="009A1E87"/>
    <w:rsid w:val="009B4517"/>
    <w:rsid w:val="009C11AE"/>
    <w:rsid w:val="009C3D5A"/>
    <w:rsid w:val="009D0B83"/>
    <w:rsid w:val="00A021FB"/>
    <w:rsid w:val="00A07193"/>
    <w:rsid w:val="00A12563"/>
    <w:rsid w:val="00A12B6A"/>
    <w:rsid w:val="00A17F7B"/>
    <w:rsid w:val="00A30581"/>
    <w:rsid w:val="00A41976"/>
    <w:rsid w:val="00A467CE"/>
    <w:rsid w:val="00A516F4"/>
    <w:rsid w:val="00A51831"/>
    <w:rsid w:val="00A5676A"/>
    <w:rsid w:val="00A60C46"/>
    <w:rsid w:val="00A674A8"/>
    <w:rsid w:val="00A73312"/>
    <w:rsid w:val="00A80B64"/>
    <w:rsid w:val="00A81B78"/>
    <w:rsid w:val="00A83E47"/>
    <w:rsid w:val="00AA3E81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E550A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31149"/>
    <w:rsid w:val="00B43149"/>
    <w:rsid w:val="00B51105"/>
    <w:rsid w:val="00B611B3"/>
    <w:rsid w:val="00B61F5D"/>
    <w:rsid w:val="00B6438B"/>
    <w:rsid w:val="00B8167D"/>
    <w:rsid w:val="00B8315D"/>
    <w:rsid w:val="00B927C5"/>
    <w:rsid w:val="00BA3643"/>
    <w:rsid w:val="00BA56C5"/>
    <w:rsid w:val="00BA6734"/>
    <w:rsid w:val="00BA7B40"/>
    <w:rsid w:val="00BB13B1"/>
    <w:rsid w:val="00BB6C5B"/>
    <w:rsid w:val="00BC5BE4"/>
    <w:rsid w:val="00BC6E0C"/>
    <w:rsid w:val="00BD6F23"/>
    <w:rsid w:val="00BE0217"/>
    <w:rsid w:val="00BE77FD"/>
    <w:rsid w:val="00BF13CF"/>
    <w:rsid w:val="00BF3100"/>
    <w:rsid w:val="00BF3E0F"/>
    <w:rsid w:val="00BF5B56"/>
    <w:rsid w:val="00C03C34"/>
    <w:rsid w:val="00C06F1C"/>
    <w:rsid w:val="00C17AEF"/>
    <w:rsid w:val="00C23879"/>
    <w:rsid w:val="00C24BA4"/>
    <w:rsid w:val="00C25B97"/>
    <w:rsid w:val="00C40B30"/>
    <w:rsid w:val="00C54C8E"/>
    <w:rsid w:val="00C555FE"/>
    <w:rsid w:val="00C720D6"/>
    <w:rsid w:val="00C811DF"/>
    <w:rsid w:val="00C8648E"/>
    <w:rsid w:val="00C87A5F"/>
    <w:rsid w:val="00C87D20"/>
    <w:rsid w:val="00C942F0"/>
    <w:rsid w:val="00CA0A2F"/>
    <w:rsid w:val="00CA5354"/>
    <w:rsid w:val="00CA6242"/>
    <w:rsid w:val="00CA7186"/>
    <w:rsid w:val="00CB4D42"/>
    <w:rsid w:val="00CC0570"/>
    <w:rsid w:val="00CC16E3"/>
    <w:rsid w:val="00CC27BB"/>
    <w:rsid w:val="00CD2B6B"/>
    <w:rsid w:val="00CD2B98"/>
    <w:rsid w:val="00CD4350"/>
    <w:rsid w:val="00CE06AF"/>
    <w:rsid w:val="00CE674D"/>
    <w:rsid w:val="00CE6E0F"/>
    <w:rsid w:val="00D01A31"/>
    <w:rsid w:val="00D036B9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70301"/>
    <w:rsid w:val="00D74595"/>
    <w:rsid w:val="00D8744A"/>
    <w:rsid w:val="00D94877"/>
    <w:rsid w:val="00D97E73"/>
    <w:rsid w:val="00DB1928"/>
    <w:rsid w:val="00DB205F"/>
    <w:rsid w:val="00DB2243"/>
    <w:rsid w:val="00DB4B85"/>
    <w:rsid w:val="00DF19A1"/>
    <w:rsid w:val="00DF7BE9"/>
    <w:rsid w:val="00E017FC"/>
    <w:rsid w:val="00E04794"/>
    <w:rsid w:val="00E16922"/>
    <w:rsid w:val="00E30437"/>
    <w:rsid w:val="00E33875"/>
    <w:rsid w:val="00E36775"/>
    <w:rsid w:val="00E42D4C"/>
    <w:rsid w:val="00E45694"/>
    <w:rsid w:val="00E47935"/>
    <w:rsid w:val="00E5109A"/>
    <w:rsid w:val="00E52BC5"/>
    <w:rsid w:val="00E5412A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D7133"/>
    <w:rsid w:val="00ED786E"/>
    <w:rsid w:val="00EE129B"/>
    <w:rsid w:val="00EE25DC"/>
    <w:rsid w:val="00EE39DD"/>
    <w:rsid w:val="00EE75B8"/>
    <w:rsid w:val="00EF2D12"/>
    <w:rsid w:val="00EF34FF"/>
    <w:rsid w:val="00EF7D57"/>
    <w:rsid w:val="00F01534"/>
    <w:rsid w:val="00F075EB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2788"/>
    <w:rsid w:val="00F44B26"/>
    <w:rsid w:val="00F45021"/>
    <w:rsid w:val="00F4542A"/>
    <w:rsid w:val="00F64D93"/>
    <w:rsid w:val="00F80AD5"/>
    <w:rsid w:val="00F95BB0"/>
    <w:rsid w:val="00FA3CD5"/>
    <w:rsid w:val="00FA44E8"/>
    <w:rsid w:val="00FA593C"/>
    <w:rsid w:val="00FB177F"/>
    <w:rsid w:val="00FE0B7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443</cp:revision>
  <dcterms:created xsi:type="dcterms:W3CDTF">2019-11-27T13:54:00Z</dcterms:created>
  <dcterms:modified xsi:type="dcterms:W3CDTF">2021-07-15T08:45:00Z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