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36B8124B" w:rsidR="00F4431D" w:rsidRDefault="00EB2491" w:rsidP="00F4431D">
            <w:proofErr w:type="spellStart"/>
            <w:r>
              <w:t>Supercorroding</w:t>
            </w:r>
            <w:proofErr w:type="spellEnd"/>
            <w:r>
              <w:t xml:space="preserve"> galvanic cells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CC2E4A" w14:paraId="3A6BCC56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D22B21E" w14:textId="77777777" w:rsidR="00CC2E4A" w:rsidRDefault="00CC2E4A" w:rsidP="00CC2E4A">
            <w:r>
              <w:t>Magnesium ribbon is flammable</w:t>
            </w:r>
          </w:p>
          <w:p w14:paraId="2717EDE9" w14:textId="77777777" w:rsidR="00CC2E4A" w:rsidRDefault="00CC2E4A" w:rsidP="00CC2E4A"/>
          <w:p w14:paraId="0BD72DA0" w14:textId="7D408404" w:rsidR="00CC2E4A" w:rsidRDefault="00CC2E4A" w:rsidP="00CC2E4A"/>
        </w:tc>
        <w:tc>
          <w:tcPr>
            <w:tcW w:w="3118" w:type="dxa"/>
          </w:tcPr>
          <w:p w14:paraId="3D403EAA" w14:textId="77777777" w:rsidR="00CC2E4A" w:rsidRDefault="00CC2E4A" w:rsidP="00CC2E4A">
            <w:r>
              <w:t>Demonstrator / audience if it ignites</w:t>
            </w:r>
          </w:p>
          <w:p w14:paraId="58FE0ACC" w14:textId="04F31A31" w:rsidR="00CC2E4A" w:rsidRDefault="00CC2E4A" w:rsidP="00CC2E4A"/>
        </w:tc>
        <w:tc>
          <w:tcPr>
            <w:tcW w:w="4649" w:type="dxa"/>
          </w:tcPr>
          <w:p w14:paraId="6B02A1FC" w14:textId="77777777" w:rsidR="00CC2E4A" w:rsidRDefault="00CC2E4A" w:rsidP="00CC2E4A">
            <w:r>
              <w:t>Keep away from source of ignition.</w:t>
            </w:r>
          </w:p>
          <w:p w14:paraId="5F0D31C3" w14:textId="77777777" w:rsidR="00CC2E4A" w:rsidRDefault="00CC2E4A" w:rsidP="00CC2E4A"/>
          <w:p w14:paraId="24F10C60" w14:textId="5DBBB3F1" w:rsidR="00CC2E4A" w:rsidRDefault="00CC2E4A" w:rsidP="00CC2E4A"/>
        </w:tc>
        <w:tc>
          <w:tcPr>
            <w:tcW w:w="993" w:type="dxa"/>
          </w:tcPr>
          <w:p w14:paraId="4E7497AA" w14:textId="77777777" w:rsidR="00CC2E4A" w:rsidRDefault="00CC2E4A" w:rsidP="00CC2E4A"/>
        </w:tc>
        <w:tc>
          <w:tcPr>
            <w:tcW w:w="850" w:type="dxa"/>
            <w:gridSpan w:val="2"/>
          </w:tcPr>
          <w:p w14:paraId="69EB37F6" w14:textId="77777777" w:rsidR="00CC2E4A" w:rsidRDefault="00CC2E4A" w:rsidP="00CC2E4A"/>
        </w:tc>
        <w:tc>
          <w:tcPr>
            <w:tcW w:w="992" w:type="dxa"/>
            <w:gridSpan w:val="2"/>
          </w:tcPr>
          <w:p w14:paraId="7FCEC516" w14:textId="77777777" w:rsidR="00CC2E4A" w:rsidRDefault="00CC2E4A" w:rsidP="00CC2E4A"/>
        </w:tc>
      </w:tr>
      <w:tr w:rsidR="00CC2E4A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84A495D" w14:textId="77777777" w:rsidR="00CC2E4A" w:rsidRDefault="00CC2E4A" w:rsidP="00CC2E4A">
            <w:r>
              <w:t>Hydrogen is flammable</w:t>
            </w:r>
          </w:p>
          <w:p w14:paraId="51D36796" w14:textId="68A8583C" w:rsidR="00CC2E4A" w:rsidRPr="006854D3" w:rsidRDefault="00CC2E4A" w:rsidP="00CC2E4A"/>
        </w:tc>
        <w:tc>
          <w:tcPr>
            <w:tcW w:w="3118" w:type="dxa"/>
          </w:tcPr>
          <w:p w14:paraId="44ED40B0" w14:textId="77777777" w:rsidR="00CC2E4A" w:rsidRDefault="00CC2E4A" w:rsidP="00CC2E4A">
            <w:r>
              <w:t>Possible minor explosion</w:t>
            </w:r>
          </w:p>
          <w:p w14:paraId="3639CDB8" w14:textId="69AE8EC7" w:rsidR="00CC2E4A" w:rsidRDefault="00CC2E4A" w:rsidP="00CC2E4A"/>
        </w:tc>
        <w:tc>
          <w:tcPr>
            <w:tcW w:w="4649" w:type="dxa"/>
          </w:tcPr>
          <w:p w14:paraId="6295D8B8" w14:textId="5CD779DA" w:rsidR="00CC2E4A" w:rsidRPr="00630719" w:rsidRDefault="00CC2E4A" w:rsidP="00CC2E4A">
            <w:pPr>
              <w:rPr>
                <w:rFonts w:cs="Tahoma"/>
              </w:rPr>
            </w:pPr>
            <w:r>
              <w:t>Extremely unlikely unless the reaction is carried out with no ventilation in a confined space. Keep quantities small and work in a well-ventilated space.</w:t>
            </w:r>
          </w:p>
        </w:tc>
        <w:tc>
          <w:tcPr>
            <w:tcW w:w="993" w:type="dxa"/>
          </w:tcPr>
          <w:p w14:paraId="29A7F29F" w14:textId="77777777" w:rsidR="00CC2E4A" w:rsidRDefault="00CC2E4A" w:rsidP="00CC2E4A"/>
        </w:tc>
        <w:tc>
          <w:tcPr>
            <w:tcW w:w="850" w:type="dxa"/>
            <w:gridSpan w:val="2"/>
          </w:tcPr>
          <w:p w14:paraId="2B138731" w14:textId="77777777" w:rsidR="00CC2E4A" w:rsidRDefault="00CC2E4A" w:rsidP="00CC2E4A"/>
        </w:tc>
        <w:tc>
          <w:tcPr>
            <w:tcW w:w="992" w:type="dxa"/>
            <w:gridSpan w:val="2"/>
          </w:tcPr>
          <w:p w14:paraId="27363CF1" w14:textId="77777777" w:rsidR="00CC2E4A" w:rsidRDefault="00CC2E4A" w:rsidP="00CC2E4A"/>
        </w:tc>
      </w:tr>
      <w:tr w:rsidR="00CC2E4A" w14:paraId="6254C30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70D90DC" w14:textId="68C9FE2A" w:rsidR="00CC2E4A" w:rsidRDefault="00CC2E4A" w:rsidP="00CC2E4A">
            <w:r>
              <w:t>Steel wool can cause cuts when being handled.</w:t>
            </w:r>
          </w:p>
        </w:tc>
        <w:tc>
          <w:tcPr>
            <w:tcW w:w="3118" w:type="dxa"/>
          </w:tcPr>
          <w:p w14:paraId="2E7AFFBF" w14:textId="28287451" w:rsidR="00CC2E4A" w:rsidRDefault="00CC2E4A" w:rsidP="00CC2E4A">
            <w:r>
              <w:t>Demonstrator during experiment.</w:t>
            </w:r>
          </w:p>
        </w:tc>
        <w:tc>
          <w:tcPr>
            <w:tcW w:w="4649" w:type="dxa"/>
          </w:tcPr>
          <w:p w14:paraId="3FB2023A" w14:textId="3302FFD9" w:rsidR="00CC2E4A" w:rsidRDefault="00CC2E4A" w:rsidP="00CC2E4A">
            <w:r>
              <w:t>Take care, possibly wear gloves.</w:t>
            </w:r>
          </w:p>
        </w:tc>
        <w:tc>
          <w:tcPr>
            <w:tcW w:w="993" w:type="dxa"/>
          </w:tcPr>
          <w:p w14:paraId="2B0C3B9F" w14:textId="77777777" w:rsidR="00CC2E4A" w:rsidRDefault="00CC2E4A" w:rsidP="00CC2E4A"/>
        </w:tc>
        <w:tc>
          <w:tcPr>
            <w:tcW w:w="850" w:type="dxa"/>
            <w:gridSpan w:val="2"/>
          </w:tcPr>
          <w:p w14:paraId="0F58005B" w14:textId="77777777" w:rsidR="00CC2E4A" w:rsidRDefault="00CC2E4A" w:rsidP="00CC2E4A"/>
        </w:tc>
        <w:tc>
          <w:tcPr>
            <w:tcW w:w="992" w:type="dxa"/>
            <w:gridSpan w:val="2"/>
          </w:tcPr>
          <w:p w14:paraId="3E126260" w14:textId="77777777" w:rsidR="00CC2E4A" w:rsidRDefault="00CC2E4A" w:rsidP="00CC2E4A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5CD339" w14:textId="025B8623" w:rsidR="005929C6" w:rsidRDefault="003424B3" w:rsidP="005929C6">
            <w:r>
              <w:t xml:space="preserve">Samples of magnesium and iron are dropped separately into test tubes of sodium chloride solution. Little if any reaction happens. Then magnesium ribbon is </w:t>
            </w:r>
            <w:proofErr w:type="gramStart"/>
            <w:r>
              <w:t>cleaned</w:t>
            </w:r>
            <w:proofErr w:type="gramEnd"/>
            <w:r>
              <w:t xml:space="preserve"> and steel wool wrapped tightly round it. On this being placed into salt water, bubbles are seen as it reacts.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033CF07C" w:rsidR="00707692" w:rsidRPr="00CE2308" w:rsidRDefault="00707692" w:rsidP="000442C5"/>
        </w:tc>
      </w:tr>
    </w:tbl>
    <w:p w14:paraId="35C66601" w14:textId="77777777" w:rsidR="00185440" w:rsidRDefault="00EB2491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9D03" w14:textId="77777777" w:rsidR="0085247F" w:rsidRDefault="0085247F">
      <w:r>
        <w:separator/>
      </w:r>
    </w:p>
  </w:endnote>
  <w:endnote w:type="continuationSeparator" w:id="0">
    <w:p w14:paraId="4F786A78" w14:textId="77777777" w:rsidR="0085247F" w:rsidRDefault="0085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2052" w14:textId="77777777" w:rsidR="0085247F" w:rsidRDefault="0085247F">
      <w:r>
        <w:separator/>
      </w:r>
    </w:p>
  </w:footnote>
  <w:footnote w:type="continuationSeparator" w:id="0">
    <w:p w14:paraId="1E1A18F1" w14:textId="77777777" w:rsidR="0085247F" w:rsidRDefault="00852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27D1F"/>
    <w:rsid w:val="0003290F"/>
    <w:rsid w:val="00040D6D"/>
    <w:rsid w:val="000442C5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E272E"/>
    <w:rsid w:val="002F291A"/>
    <w:rsid w:val="00301328"/>
    <w:rsid w:val="00310020"/>
    <w:rsid w:val="00320F83"/>
    <w:rsid w:val="00321B0F"/>
    <w:rsid w:val="0032218E"/>
    <w:rsid w:val="00330627"/>
    <w:rsid w:val="00332C26"/>
    <w:rsid w:val="0033647C"/>
    <w:rsid w:val="003424B3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929C6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864BC"/>
    <w:rsid w:val="00792AC7"/>
    <w:rsid w:val="00794182"/>
    <w:rsid w:val="00797200"/>
    <w:rsid w:val="007B5ECF"/>
    <w:rsid w:val="007C1A93"/>
    <w:rsid w:val="007C7560"/>
    <w:rsid w:val="007D40DA"/>
    <w:rsid w:val="007D4EB6"/>
    <w:rsid w:val="007D7BC2"/>
    <w:rsid w:val="007F6BAB"/>
    <w:rsid w:val="00804690"/>
    <w:rsid w:val="008078DE"/>
    <w:rsid w:val="00815143"/>
    <w:rsid w:val="008216BE"/>
    <w:rsid w:val="00827A11"/>
    <w:rsid w:val="00832DA7"/>
    <w:rsid w:val="0085247F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56DC"/>
    <w:rsid w:val="00A66774"/>
    <w:rsid w:val="00A77EBB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2F05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C42A0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2E4A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2491"/>
    <w:rsid w:val="00EB7C10"/>
    <w:rsid w:val="00EC52D5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61A81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929C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929C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263</cp:revision>
  <dcterms:created xsi:type="dcterms:W3CDTF">2019-11-07T14:42:00Z</dcterms:created>
  <dcterms:modified xsi:type="dcterms:W3CDTF">2021-07-15T08:42:00Z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