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1A8FE4C2" w:rsidR="00DB4B85" w:rsidRDefault="00620FE1" w:rsidP="00DB4B85">
            <w:r>
              <w:t>Pro</w:t>
            </w:r>
            <w:r w:rsidR="00C25B97">
              <w:t>p</w:t>
            </w:r>
            <w:r>
              <w:t>anone iodine reaction</w:t>
            </w:r>
            <w:r w:rsidR="00B31149">
              <w:t xml:space="preserve"> </w:t>
            </w:r>
            <w:r w:rsidR="002C03A4">
              <w:t>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39142DC" w:rsidR="00DB4B85" w:rsidRDefault="00301642" w:rsidP="00DB4B85">
            <w:r>
              <w:t>26th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51A98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5354B1AD" w:rsidR="00951A98" w:rsidRPr="00EE75B8" w:rsidRDefault="00951A98" w:rsidP="00951A98">
            <w:r>
              <w:t>Iodine is harmful if swallowed or inhaled</w:t>
            </w:r>
          </w:p>
        </w:tc>
        <w:tc>
          <w:tcPr>
            <w:tcW w:w="2410" w:type="dxa"/>
          </w:tcPr>
          <w:p w14:paraId="3BE3D608" w14:textId="73310B97" w:rsidR="00951A98" w:rsidRPr="00620FE1" w:rsidRDefault="00951A98" w:rsidP="00951A98">
            <w:pPr>
              <w:rPr>
                <w:lang w:val="en-GB"/>
              </w:rPr>
            </w:pPr>
            <w:r>
              <w:t xml:space="preserve">Technician preparing </w:t>
            </w:r>
            <w:r w:rsidRPr="00620FE1">
              <w:rPr>
                <w:lang w:val="en-GB"/>
              </w:rPr>
              <w:t>solution</w:t>
            </w:r>
            <w:r>
              <w:t xml:space="preserve"> by inhaling vapour.</w:t>
            </w:r>
          </w:p>
        </w:tc>
        <w:tc>
          <w:tcPr>
            <w:tcW w:w="5499" w:type="dxa"/>
          </w:tcPr>
          <w:p w14:paraId="2E96B76A" w14:textId="4A694FCD" w:rsidR="00951A98" w:rsidRPr="00EE75B8" w:rsidRDefault="00951A98" w:rsidP="00951A98">
            <w:r>
              <w:t>Work in a well</w:t>
            </w:r>
            <w:r w:rsidR="00620FE1">
              <w:t>-</w:t>
            </w:r>
            <w:r>
              <w:t>ventilated laboratory.</w:t>
            </w:r>
          </w:p>
        </w:tc>
        <w:tc>
          <w:tcPr>
            <w:tcW w:w="1134" w:type="dxa"/>
          </w:tcPr>
          <w:p w14:paraId="6707346C" w14:textId="77777777" w:rsidR="00951A98" w:rsidRDefault="00951A98" w:rsidP="00951A98"/>
        </w:tc>
        <w:tc>
          <w:tcPr>
            <w:tcW w:w="993" w:type="dxa"/>
          </w:tcPr>
          <w:p w14:paraId="1A73080D" w14:textId="77777777" w:rsidR="00951A98" w:rsidRDefault="00951A98" w:rsidP="00951A98"/>
        </w:tc>
        <w:tc>
          <w:tcPr>
            <w:tcW w:w="708" w:type="dxa"/>
          </w:tcPr>
          <w:p w14:paraId="4A089504" w14:textId="77777777" w:rsidR="00951A98" w:rsidRDefault="00951A98" w:rsidP="00951A98"/>
        </w:tc>
      </w:tr>
      <w:tr w:rsidR="00951A98" w14:paraId="74FC59A8" w14:textId="77777777" w:rsidTr="00F3791C">
        <w:trPr>
          <w:trHeight w:val="709"/>
        </w:trPr>
        <w:tc>
          <w:tcPr>
            <w:tcW w:w="3539" w:type="dxa"/>
          </w:tcPr>
          <w:p w14:paraId="75D760AF" w14:textId="3957DF61" w:rsidR="00951A98" w:rsidRDefault="00951A98" w:rsidP="00951A98">
            <w:r>
              <w:t>0.01 molar iodine solution is of no significant hazard</w:t>
            </w:r>
          </w:p>
        </w:tc>
        <w:tc>
          <w:tcPr>
            <w:tcW w:w="2410" w:type="dxa"/>
          </w:tcPr>
          <w:p w14:paraId="62A50039" w14:textId="3A2B4CA2" w:rsidR="00951A98" w:rsidRDefault="00951A98" w:rsidP="00951A98"/>
        </w:tc>
        <w:tc>
          <w:tcPr>
            <w:tcW w:w="5499" w:type="dxa"/>
          </w:tcPr>
          <w:p w14:paraId="6F068536" w14:textId="451E6591" w:rsidR="00951A98" w:rsidRDefault="00951A98" w:rsidP="00951A98"/>
        </w:tc>
        <w:tc>
          <w:tcPr>
            <w:tcW w:w="1134" w:type="dxa"/>
          </w:tcPr>
          <w:p w14:paraId="68316825" w14:textId="77777777" w:rsidR="00951A98" w:rsidRDefault="00951A98" w:rsidP="00951A98"/>
        </w:tc>
        <w:tc>
          <w:tcPr>
            <w:tcW w:w="993" w:type="dxa"/>
          </w:tcPr>
          <w:p w14:paraId="4A753346" w14:textId="77777777" w:rsidR="00951A98" w:rsidRDefault="00951A98" w:rsidP="00951A98"/>
        </w:tc>
        <w:tc>
          <w:tcPr>
            <w:tcW w:w="708" w:type="dxa"/>
          </w:tcPr>
          <w:p w14:paraId="0D3CEA7C" w14:textId="77777777" w:rsidR="00951A98" w:rsidRDefault="00951A98" w:rsidP="00951A98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7F627609" w14:textId="77777777" w:rsidR="00E04794" w:rsidRDefault="00951A98" w:rsidP="000A2F15">
            <w:r>
              <w:t>Propanone</w:t>
            </w:r>
            <w:r w:rsidR="00C25B97">
              <w:t xml:space="preserve"> is highly flammable and a</w:t>
            </w:r>
            <w:r w:rsidR="005965D9">
              <w:t>n</w:t>
            </w:r>
            <w:r w:rsidR="00C25B97">
              <w:t xml:space="preserve"> </w:t>
            </w:r>
            <w:r w:rsidR="005965D9">
              <w:t>eye</w:t>
            </w:r>
            <w:r w:rsidR="00C25B97">
              <w:t>/respiratory irritant</w:t>
            </w:r>
            <w:r w:rsidR="00E36775">
              <w:t>.</w:t>
            </w:r>
          </w:p>
          <w:p w14:paraId="454CBAD7" w14:textId="5B0FEE65" w:rsidR="00E36775" w:rsidRPr="00EE75B8" w:rsidRDefault="00E36775" w:rsidP="000A2F15">
            <w:r>
              <w:t>A 1.0 molar solution is of no significant hazard</w:t>
            </w:r>
          </w:p>
        </w:tc>
        <w:tc>
          <w:tcPr>
            <w:tcW w:w="2410" w:type="dxa"/>
          </w:tcPr>
          <w:p w14:paraId="2BA8AA64" w14:textId="14346AA9" w:rsidR="000A2F15" w:rsidRPr="00EE75B8" w:rsidRDefault="00E36775" w:rsidP="000A2F15">
            <w:r>
              <w:t>Technician by fire</w:t>
            </w:r>
            <w:r w:rsidR="005B2F0C">
              <w:t>, splashes or exposure to vapours</w:t>
            </w:r>
          </w:p>
        </w:tc>
        <w:tc>
          <w:tcPr>
            <w:tcW w:w="5499" w:type="dxa"/>
          </w:tcPr>
          <w:p w14:paraId="009D8178" w14:textId="3370B71A" w:rsidR="000A2F15" w:rsidRPr="00EE75B8" w:rsidRDefault="005B2F0C" w:rsidP="000A2F15">
            <w:r>
              <w:t xml:space="preserve">Keep away from sources of ignition. </w:t>
            </w:r>
            <w:r w:rsidR="00676D04">
              <w:t xml:space="preserve">Work in a well-ventilated laboratory. </w:t>
            </w:r>
            <w:r w:rsidR="002F55DD">
              <w:t>Wear eye protection and c</w:t>
            </w:r>
            <w:r w:rsidR="00676D04">
              <w:t>onsider wearing gloves.</w:t>
            </w:r>
          </w:p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3A5B98" w14:paraId="156B1DD7" w14:textId="77777777" w:rsidTr="00F3791C">
        <w:trPr>
          <w:trHeight w:val="709"/>
        </w:trPr>
        <w:tc>
          <w:tcPr>
            <w:tcW w:w="3539" w:type="dxa"/>
          </w:tcPr>
          <w:p w14:paraId="0771A14A" w14:textId="3672FD05" w:rsidR="003A5B98" w:rsidRDefault="003A5B98" w:rsidP="003A5B98">
            <w:r>
              <w:t>Sulphuric acid is highly corrosive.</w:t>
            </w:r>
          </w:p>
        </w:tc>
        <w:tc>
          <w:tcPr>
            <w:tcW w:w="2410" w:type="dxa"/>
          </w:tcPr>
          <w:p w14:paraId="2D45493C" w14:textId="74617B3C" w:rsidR="003A5B98" w:rsidRDefault="003A5B98" w:rsidP="003A5B98">
            <w:r>
              <w:t>Technician while preparing the solution by splashes.</w:t>
            </w:r>
          </w:p>
        </w:tc>
        <w:tc>
          <w:tcPr>
            <w:tcW w:w="5499" w:type="dxa"/>
          </w:tcPr>
          <w:p w14:paraId="561742DC" w14:textId="5AC1A581" w:rsidR="003A5B98" w:rsidRDefault="003A5B98" w:rsidP="003A5B98">
            <w:r>
              <w:t>Wear goggles (BS EN166 3) or a face shield and gloves.</w:t>
            </w:r>
          </w:p>
        </w:tc>
        <w:tc>
          <w:tcPr>
            <w:tcW w:w="1134" w:type="dxa"/>
          </w:tcPr>
          <w:p w14:paraId="556CD760" w14:textId="77777777" w:rsidR="003A5B98" w:rsidRDefault="003A5B98" w:rsidP="003A5B98"/>
        </w:tc>
        <w:tc>
          <w:tcPr>
            <w:tcW w:w="993" w:type="dxa"/>
          </w:tcPr>
          <w:p w14:paraId="4B8F5577" w14:textId="77777777" w:rsidR="003A5B98" w:rsidRDefault="003A5B98" w:rsidP="003A5B98"/>
        </w:tc>
        <w:tc>
          <w:tcPr>
            <w:tcW w:w="708" w:type="dxa"/>
          </w:tcPr>
          <w:p w14:paraId="54CE9D08" w14:textId="77777777" w:rsidR="003A5B98" w:rsidRDefault="003A5B98" w:rsidP="003A5B98"/>
        </w:tc>
      </w:tr>
      <w:tr w:rsidR="00E5412A" w14:paraId="7D241F77" w14:textId="77777777" w:rsidTr="00F3791C">
        <w:trPr>
          <w:trHeight w:val="709"/>
        </w:trPr>
        <w:tc>
          <w:tcPr>
            <w:tcW w:w="3539" w:type="dxa"/>
          </w:tcPr>
          <w:p w14:paraId="3960D39D" w14:textId="1180E71A" w:rsidR="00E5412A" w:rsidRDefault="00E5412A" w:rsidP="003A5B98">
            <w:r>
              <w:t>1.0 molar sulphuric acid is a skin/eye irritant</w:t>
            </w:r>
          </w:p>
        </w:tc>
        <w:tc>
          <w:tcPr>
            <w:tcW w:w="2410" w:type="dxa"/>
          </w:tcPr>
          <w:p w14:paraId="52A30567" w14:textId="474FAC74" w:rsidR="00E5412A" w:rsidRPr="001E7C91" w:rsidRDefault="00620FE1" w:rsidP="003A5B98">
            <w:pPr>
              <w:rPr>
                <w:lang w:val="en-GB"/>
              </w:rPr>
            </w:pPr>
            <w:r>
              <w:rPr>
                <w:lang w:val="en-GB"/>
              </w:rPr>
              <w:t>Pupil/teacher while carrying out reaction by splashes</w:t>
            </w:r>
          </w:p>
        </w:tc>
        <w:tc>
          <w:tcPr>
            <w:tcW w:w="5499" w:type="dxa"/>
          </w:tcPr>
          <w:p w14:paraId="53131250" w14:textId="4A471119" w:rsidR="00E5412A" w:rsidRDefault="00620FE1" w:rsidP="003A5B98">
            <w:r>
              <w:t>Wear eye-protection.</w:t>
            </w:r>
          </w:p>
        </w:tc>
        <w:tc>
          <w:tcPr>
            <w:tcW w:w="1134" w:type="dxa"/>
          </w:tcPr>
          <w:p w14:paraId="1DB2755C" w14:textId="77777777" w:rsidR="00E5412A" w:rsidRDefault="00E5412A" w:rsidP="003A5B98"/>
        </w:tc>
        <w:tc>
          <w:tcPr>
            <w:tcW w:w="993" w:type="dxa"/>
          </w:tcPr>
          <w:p w14:paraId="624D0C48" w14:textId="77777777" w:rsidR="00E5412A" w:rsidRDefault="00E5412A" w:rsidP="003A5B98"/>
        </w:tc>
        <w:tc>
          <w:tcPr>
            <w:tcW w:w="708" w:type="dxa"/>
          </w:tcPr>
          <w:p w14:paraId="40DD1965" w14:textId="77777777" w:rsidR="00E5412A" w:rsidRDefault="00E5412A" w:rsidP="003A5B98"/>
        </w:tc>
      </w:tr>
      <w:tr w:rsidR="00A60C46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36F85486" w:rsidR="00A60C46" w:rsidRPr="00EE75B8" w:rsidRDefault="00CA6242" w:rsidP="00A60C46">
            <w:r>
              <w:t>Sodium thiosulphate is of no significant hazard</w:t>
            </w:r>
          </w:p>
        </w:tc>
        <w:tc>
          <w:tcPr>
            <w:tcW w:w="2410" w:type="dxa"/>
          </w:tcPr>
          <w:p w14:paraId="23147E2A" w14:textId="1A50F9E0" w:rsidR="00A60C46" w:rsidRPr="00EE75B8" w:rsidRDefault="00A60C46" w:rsidP="00A60C46"/>
        </w:tc>
        <w:tc>
          <w:tcPr>
            <w:tcW w:w="5499" w:type="dxa"/>
          </w:tcPr>
          <w:p w14:paraId="6438DCC9" w14:textId="6B9A5237" w:rsidR="00A60C46" w:rsidRPr="00EE75B8" w:rsidRDefault="00A60C46" w:rsidP="00A60C46"/>
        </w:tc>
        <w:tc>
          <w:tcPr>
            <w:tcW w:w="1134" w:type="dxa"/>
          </w:tcPr>
          <w:p w14:paraId="747AE874" w14:textId="77777777" w:rsidR="00A60C46" w:rsidRDefault="00A60C46" w:rsidP="00A60C46"/>
        </w:tc>
        <w:tc>
          <w:tcPr>
            <w:tcW w:w="993" w:type="dxa"/>
          </w:tcPr>
          <w:p w14:paraId="2A349763" w14:textId="77777777" w:rsidR="00A60C46" w:rsidRDefault="00A60C46" w:rsidP="00A60C46"/>
        </w:tc>
        <w:tc>
          <w:tcPr>
            <w:tcW w:w="708" w:type="dxa"/>
          </w:tcPr>
          <w:p w14:paraId="3EA08483" w14:textId="77777777" w:rsidR="00A60C46" w:rsidRDefault="00A60C46" w:rsidP="00A60C46"/>
        </w:tc>
      </w:tr>
      <w:tr w:rsidR="00A60C46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7452A755" w:rsidR="00A60C46" w:rsidRPr="00EE75B8" w:rsidRDefault="00A60C46" w:rsidP="00A60C46"/>
        </w:tc>
        <w:tc>
          <w:tcPr>
            <w:tcW w:w="2410" w:type="dxa"/>
          </w:tcPr>
          <w:p w14:paraId="7293C8FE" w14:textId="24F445CB" w:rsidR="00A60C46" w:rsidRPr="00EE75B8" w:rsidRDefault="00A60C46" w:rsidP="00A60C46"/>
        </w:tc>
        <w:tc>
          <w:tcPr>
            <w:tcW w:w="5499" w:type="dxa"/>
          </w:tcPr>
          <w:p w14:paraId="2A92A885" w14:textId="1206ABAA" w:rsidR="00A60C46" w:rsidRPr="00EE75B8" w:rsidRDefault="00A60C46" w:rsidP="00A60C46"/>
        </w:tc>
        <w:tc>
          <w:tcPr>
            <w:tcW w:w="1134" w:type="dxa"/>
          </w:tcPr>
          <w:p w14:paraId="5757ADB0" w14:textId="77777777" w:rsidR="00A60C46" w:rsidRDefault="00A60C46" w:rsidP="00A60C46"/>
        </w:tc>
        <w:tc>
          <w:tcPr>
            <w:tcW w:w="993" w:type="dxa"/>
          </w:tcPr>
          <w:p w14:paraId="59AF1BB1" w14:textId="77777777" w:rsidR="00A60C46" w:rsidRDefault="00A60C46" w:rsidP="00A60C46"/>
        </w:tc>
        <w:tc>
          <w:tcPr>
            <w:tcW w:w="708" w:type="dxa"/>
          </w:tcPr>
          <w:p w14:paraId="2DC63E94" w14:textId="77777777" w:rsidR="00A60C46" w:rsidRDefault="00A60C46" w:rsidP="00A60C46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236C47A" w14:textId="77777777" w:rsidR="00391B57" w:rsidRDefault="00391B57" w:rsidP="00391B57"/>
          <w:p w14:paraId="4EEF6720" w14:textId="538F9C96" w:rsidR="00572D50" w:rsidRPr="00723E0B" w:rsidRDefault="00572D50" w:rsidP="00572D50">
            <w:pPr>
              <w:spacing w:after="12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Iodine is reacted with propanone in an acidic solution. </w:t>
            </w:r>
            <w:r w:rsidRPr="00723E0B">
              <w:rPr>
                <w:rFonts w:ascii="Times New Roman" w:hAnsi="Times New Roman"/>
                <w:sz w:val="24"/>
                <w:szCs w:val="24"/>
              </w:rPr>
              <w:t>The course of the reaction can be followed by monitoring the concentration of iodine This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0B">
              <w:rPr>
                <w:rFonts w:ascii="Times New Roman" w:hAnsi="Times New Roman"/>
                <w:sz w:val="24"/>
                <w:szCs w:val="24"/>
              </w:rPr>
              <w:t xml:space="preserve">involves removing samples from the reaction mixture from time to time and </w:t>
            </w:r>
            <w:proofErr w:type="spellStart"/>
            <w:r w:rsidRPr="00723E0B">
              <w:rPr>
                <w:rFonts w:ascii="Times New Roman" w:hAnsi="Times New Roman"/>
                <w:sz w:val="24"/>
                <w:szCs w:val="24"/>
              </w:rPr>
              <w:t>analysing</w:t>
            </w:r>
            <w:proofErr w:type="spellEnd"/>
            <w:r w:rsidRPr="00723E0B">
              <w:rPr>
                <w:rFonts w:ascii="Times New Roman" w:hAnsi="Times New Roman"/>
                <w:sz w:val="24"/>
                <w:szCs w:val="24"/>
              </w:rPr>
              <w:t xml:space="preserve"> them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0B">
              <w:rPr>
                <w:rFonts w:ascii="Times New Roman" w:hAnsi="Times New Roman"/>
                <w:sz w:val="24"/>
                <w:szCs w:val="24"/>
              </w:rPr>
              <w:t>iodine.</w:t>
            </w:r>
          </w:p>
          <w:p w14:paraId="5EB5F045" w14:textId="7D700EA9" w:rsidR="00B1770E" w:rsidRPr="00433122" w:rsidRDefault="00B1770E" w:rsidP="009D0B83">
            <w:pPr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572D50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9CF4" w14:textId="77777777" w:rsidR="008B298A" w:rsidRDefault="008B298A">
      <w:r>
        <w:separator/>
      </w:r>
    </w:p>
  </w:endnote>
  <w:endnote w:type="continuationSeparator" w:id="0">
    <w:p w14:paraId="46A10651" w14:textId="77777777" w:rsidR="008B298A" w:rsidRDefault="008B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572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57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7C02" w14:textId="77777777" w:rsidR="008B298A" w:rsidRDefault="008B298A">
      <w:r>
        <w:separator/>
      </w:r>
    </w:p>
  </w:footnote>
  <w:footnote w:type="continuationSeparator" w:id="0">
    <w:p w14:paraId="6CDB0E75" w14:textId="77777777" w:rsidR="008B298A" w:rsidRDefault="008B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572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572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572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17495"/>
    <w:rsid w:val="00023F5A"/>
    <w:rsid w:val="00033FE0"/>
    <w:rsid w:val="000411AA"/>
    <w:rsid w:val="00052354"/>
    <w:rsid w:val="00062360"/>
    <w:rsid w:val="00063E3E"/>
    <w:rsid w:val="00063EFC"/>
    <w:rsid w:val="00070124"/>
    <w:rsid w:val="000725D6"/>
    <w:rsid w:val="00073352"/>
    <w:rsid w:val="00075F36"/>
    <w:rsid w:val="00077AC3"/>
    <w:rsid w:val="00094FE7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12E90"/>
    <w:rsid w:val="00125C63"/>
    <w:rsid w:val="00137C36"/>
    <w:rsid w:val="001437B5"/>
    <w:rsid w:val="00145E8A"/>
    <w:rsid w:val="00156F80"/>
    <w:rsid w:val="00167354"/>
    <w:rsid w:val="00176B56"/>
    <w:rsid w:val="001800B9"/>
    <w:rsid w:val="00185D11"/>
    <w:rsid w:val="001A4C37"/>
    <w:rsid w:val="001D1C70"/>
    <w:rsid w:val="001D324A"/>
    <w:rsid w:val="001D5AF0"/>
    <w:rsid w:val="001E2A1B"/>
    <w:rsid w:val="001E7C91"/>
    <w:rsid w:val="001F5077"/>
    <w:rsid w:val="00204988"/>
    <w:rsid w:val="00210072"/>
    <w:rsid w:val="00213734"/>
    <w:rsid w:val="00250762"/>
    <w:rsid w:val="00253512"/>
    <w:rsid w:val="00276A2D"/>
    <w:rsid w:val="00286852"/>
    <w:rsid w:val="002933CE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C62B9"/>
    <w:rsid w:val="002D42E4"/>
    <w:rsid w:val="002E14C2"/>
    <w:rsid w:val="002E234A"/>
    <w:rsid w:val="002E30EF"/>
    <w:rsid w:val="002F55DD"/>
    <w:rsid w:val="003000CC"/>
    <w:rsid w:val="00301642"/>
    <w:rsid w:val="003040CB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65470"/>
    <w:rsid w:val="0036666C"/>
    <w:rsid w:val="00371F31"/>
    <w:rsid w:val="003728E5"/>
    <w:rsid w:val="00382822"/>
    <w:rsid w:val="00384A41"/>
    <w:rsid w:val="00385C3E"/>
    <w:rsid w:val="00391B57"/>
    <w:rsid w:val="00393160"/>
    <w:rsid w:val="00393E7C"/>
    <w:rsid w:val="003A10ED"/>
    <w:rsid w:val="003A5B98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4D2A"/>
    <w:rsid w:val="00407157"/>
    <w:rsid w:val="00407EDB"/>
    <w:rsid w:val="0042283C"/>
    <w:rsid w:val="00423CD9"/>
    <w:rsid w:val="0042620F"/>
    <w:rsid w:val="00433122"/>
    <w:rsid w:val="00442163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006F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72D50"/>
    <w:rsid w:val="00576931"/>
    <w:rsid w:val="0058088E"/>
    <w:rsid w:val="005902A9"/>
    <w:rsid w:val="00593361"/>
    <w:rsid w:val="005965D9"/>
    <w:rsid w:val="005A07CF"/>
    <w:rsid w:val="005A110E"/>
    <w:rsid w:val="005B29B3"/>
    <w:rsid w:val="005B2F0C"/>
    <w:rsid w:val="005B3308"/>
    <w:rsid w:val="005C1802"/>
    <w:rsid w:val="005C43C5"/>
    <w:rsid w:val="005C60DB"/>
    <w:rsid w:val="005C7CCC"/>
    <w:rsid w:val="005D50F2"/>
    <w:rsid w:val="005E0257"/>
    <w:rsid w:val="005E10D3"/>
    <w:rsid w:val="005E28E9"/>
    <w:rsid w:val="005F10E0"/>
    <w:rsid w:val="0060493A"/>
    <w:rsid w:val="006053B3"/>
    <w:rsid w:val="00620FE1"/>
    <w:rsid w:val="006346B2"/>
    <w:rsid w:val="00635049"/>
    <w:rsid w:val="00635850"/>
    <w:rsid w:val="00635AF4"/>
    <w:rsid w:val="00640D75"/>
    <w:rsid w:val="00652106"/>
    <w:rsid w:val="006529D9"/>
    <w:rsid w:val="0065328D"/>
    <w:rsid w:val="00662428"/>
    <w:rsid w:val="00676D04"/>
    <w:rsid w:val="00677AF7"/>
    <w:rsid w:val="006864CD"/>
    <w:rsid w:val="0069601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E4EBD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19E7"/>
    <w:rsid w:val="00762975"/>
    <w:rsid w:val="00763E0A"/>
    <w:rsid w:val="007663E7"/>
    <w:rsid w:val="00766A9D"/>
    <w:rsid w:val="00767633"/>
    <w:rsid w:val="007754F2"/>
    <w:rsid w:val="00783FD5"/>
    <w:rsid w:val="0078467D"/>
    <w:rsid w:val="00784F60"/>
    <w:rsid w:val="007A237B"/>
    <w:rsid w:val="007A2854"/>
    <w:rsid w:val="007A5D4D"/>
    <w:rsid w:val="007B439F"/>
    <w:rsid w:val="007B4D56"/>
    <w:rsid w:val="007C5619"/>
    <w:rsid w:val="007C7487"/>
    <w:rsid w:val="007D1320"/>
    <w:rsid w:val="007D1ABA"/>
    <w:rsid w:val="007E20BF"/>
    <w:rsid w:val="007F3A43"/>
    <w:rsid w:val="007F5E3B"/>
    <w:rsid w:val="00804809"/>
    <w:rsid w:val="0081148D"/>
    <w:rsid w:val="00815B75"/>
    <w:rsid w:val="00836CF1"/>
    <w:rsid w:val="008378DA"/>
    <w:rsid w:val="00846323"/>
    <w:rsid w:val="008565CE"/>
    <w:rsid w:val="0085661D"/>
    <w:rsid w:val="00860CBC"/>
    <w:rsid w:val="008621CB"/>
    <w:rsid w:val="00862593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D77"/>
    <w:rsid w:val="008A69B0"/>
    <w:rsid w:val="008B298A"/>
    <w:rsid w:val="008B3D8B"/>
    <w:rsid w:val="008F0199"/>
    <w:rsid w:val="008F4187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3C2F"/>
    <w:rsid w:val="009443F6"/>
    <w:rsid w:val="009448D5"/>
    <w:rsid w:val="0094799B"/>
    <w:rsid w:val="00951A98"/>
    <w:rsid w:val="009601EF"/>
    <w:rsid w:val="00960E62"/>
    <w:rsid w:val="00966F0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3D5A"/>
    <w:rsid w:val="009D0B83"/>
    <w:rsid w:val="00A021FB"/>
    <w:rsid w:val="00A07193"/>
    <w:rsid w:val="00A12563"/>
    <w:rsid w:val="00A12B6A"/>
    <w:rsid w:val="00A17F7B"/>
    <w:rsid w:val="00A30581"/>
    <w:rsid w:val="00A40F64"/>
    <w:rsid w:val="00A41976"/>
    <w:rsid w:val="00A467CE"/>
    <w:rsid w:val="00A516F4"/>
    <w:rsid w:val="00A51831"/>
    <w:rsid w:val="00A5676A"/>
    <w:rsid w:val="00A60C46"/>
    <w:rsid w:val="00A674A8"/>
    <w:rsid w:val="00A73312"/>
    <w:rsid w:val="00A80B64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E550A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31149"/>
    <w:rsid w:val="00B43149"/>
    <w:rsid w:val="00B51105"/>
    <w:rsid w:val="00B611B3"/>
    <w:rsid w:val="00B61F5D"/>
    <w:rsid w:val="00B6438B"/>
    <w:rsid w:val="00B8167D"/>
    <w:rsid w:val="00B8315D"/>
    <w:rsid w:val="00B927C5"/>
    <w:rsid w:val="00BA3643"/>
    <w:rsid w:val="00BA56C5"/>
    <w:rsid w:val="00BA6734"/>
    <w:rsid w:val="00BA7B40"/>
    <w:rsid w:val="00BB13B1"/>
    <w:rsid w:val="00BB6C5B"/>
    <w:rsid w:val="00BC5BE4"/>
    <w:rsid w:val="00BC6E0C"/>
    <w:rsid w:val="00BD6F23"/>
    <w:rsid w:val="00BE77FD"/>
    <w:rsid w:val="00BF13CF"/>
    <w:rsid w:val="00BF3100"/>
    <w:rsid w:val="00BF3E0F"/>
    <w:rsid w:val="00BF5B56"/>
    <w:rsid w:val="00C03C34"/>
    <w:rsid w:val="00C06F1C"/>
    <w:rsid w:val="00C17AEF"/>
    <w:rsid w:val="00C23879"/>
    <w:rsid w:val="00C24BA4"/>
    <w:rsid w:val="00C25B97"/>
    <w:rsid w:val="00C40B30"/>
    <w:rsid w:val="00C54C8E"/>
    <w:rsid w:val="00C720D6"/>
    <w:rsid w:val="00C811DF"/>
    <w:rsid w:val="00C8648E"/>
    <w:rsid w:val="00C87A5F"/>
    <w:rsid w:val="00C87D20"/>
    <w:rsid w:val="00C942F0"/>
    <w:rsid w:val="00CA0A2F"/>
    <w:rsid w:val="00CA5354"/>
    <w:rsid w:val="00CA6242"/>
    <w:rsid w:val="00CA7186"/>
    <w:rsid w:val="00CB4D42"/>
    <w:rsid w:val="00CC0570"/>
    <w:rsid w:val="00CC16E3"/>
    <w:rsid w:val="00CC27BB"/>
    <w:rsid w:val="00CD2B6B"/>
    <w:rsid w:val="00CD2B98"/>
    <w:rsid w:val="00CD4350"/>
    <w:rsid w:val="00CE06AF"/>
    <w:rsid w:val="00CE674D"/>
    <w:rsid w:val="00CE6E0F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17FC"/>
    <w:rsid w:val="00E04794"/>
    <w:rsid w:val="00E16922"/>
    <w:rsid w:val="00E30437"/>
    <w:rsid w:val="00E33875"/>
    <w:rsid w:val="00E36775"/>
    <w:rsid w:val="00E42D4C"/>
    <w:rsid w:val="00E45694"/>
    <w:rsid w:val="00E47935"/>
    <w:rsid w:val="00E5109A"/>
    <w:rsid w:val="00E52BC5"/>
    <w:rsid w:val="00E5412A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1534"/>
    <w:rsid w:val="00F075EB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2788"/>
    <w:rsid w:val="00F44B26"/>
    <w:rsid w:val="00F45021"/>
    <w:rsid w:val="00F4542A"/>
    <w:rsid w:val="00F64D93"/>
    <w:rsid w:val="00F80AD5"/>
    <w:rsid w:val="00F95BB0"/>
    <w:rsid w:val="00FA3CD5"/>
    <w:rsid w:val="00FA44E8"/>
    <w:rsid w:val="00FA593C"/>
    <w:rsid w:val="00FB177F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433</cp:revision>
  <dcterms:created xsi:type="dcterms:W3CDTF">2019-11-27T13:54:00Z</dcterms:created>
  <dcterms:modified xsi:type="dcterms:W3CDTF">2021-05-10T13:43:00Z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