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649" w:tblpY="51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3A6B41" w:rsidRPr="00036364" w14:paraId="77C718F8" w14:textId="77777777" w:rsidTr="003A6B41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1AC3DAD" w14:textId="77777777" w:rsidR="003A6B41" w:rsidRPr="00036364" w:rsidRDefault="003A6B41" w:rsidP="003A6B41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3A6B41" w:rsidRPr="00036364" w14:paraId="5DDF57A2" w14:textId="77777777" w:rsidTr="003A6B41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C15DD81" w14:textId="77777777" w:rsidR="003A6B41" w:rsidRPr="00036364" w:rsidRDefault="003A6B41" w:rsidP="003A6B41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Preparation of cyclohexene</w:t>
            </w:r>
          </w:p>
        </w:tc>
      </w:tr>
      <w:tr w:rsidR="003A6B41" w:rsidRPr="00036364" w14:paraId="7B3C63FF" w14:textId="77777777" w:rsidTr="003A6B41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C31BD6A" w14:textId="77777777" w:rsidR="003A6B41" w:rsidRPr="000959EE" w:rsidRDefault="003A6B41" w:rsidP="003A6B41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5B505F67" w14:textId="370FA507" w:rsidR="003A6B41" w:rsidRDefault="00807A12" w:rsidP="003A6B41">
      <w:r>
        <w:rPr>
          <w:noProof/>
        </w:rPr>
        <w:drawing>
          <wp:anchor distT="0" distB="0" distL="114300" distR="114300" simplePos="0" relativeHeight="251660288" behindDoc="0" locked="0" layoutInCell="1" allowOverlap="1" wp14:anchorId="1FB26206" wp14:editId="1498BCA6">
            <wp:simplePos x="0" y="0"/>
            <wp:positionH relativeFrom="column">
              <wp:posOffset>-373380</wp:posOffset>
            </wp:positionH>
            <wp:positionV relativeFrom="paragraph">
              <wp:posOffset>2948940</wp:posOffset>
            </wp:positionV>
            <wp:extent cx="3487420" cy="2689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D6">
        <w:br w:type="page"/>
      </w:r>
      <w:r w:rsidR="003A6B41">
        <w:rPr>
          <w:noProof/>
        </w:rPr>
        <w:drawing>
          <wp:anchor distT="0" distB="0" distL="114300" distR="114300" simplePos="0" relativeHeight="251659264" behindDoc="0" locked="0" layoutInCell="1" allowOverlap="1" wp14:anchorId="4B27F509" wp14:editId="56F0245F">
            <wp:simplePos x="0" y="0"/>
            <wp:positionH relativeFrom="column">
              <wp:posOffset>-525780</wp:posOffset>
            </wp:positionH>
            <wp:positionV relativeFrom="paragraph">
              <wp:posOffset>-533400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521FE" w14:textId="28948D9F" w:rsidR="00693CD2" w:rsidRDefault="00A51A1E" w:rsidP="005256A5">
      <w:pPr>
        <w:pStyle w:val="Title"/>
        <w:spacing w:before="0"/>
      </w:pPr>
      <w:r>
        <w:lastRenderedPageBreak/>
        <w:t>Preparation of Cyclohexene</w:t>
      </w:r>
    </w:p>
    <w:p w14:paraId="4CC5EC82" w14:textId="68CF5207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870E4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870E48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48EC9A4" w14:textId="77777777" w:rsidR="00F6281E" w:rsidRPr="00A51A1E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317EB39" w14:textId="21681428" w:rsid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Cyclohexene can be prepared by dehydrating cyclohexanol using concentrated phosphoric acid</w:t>
      </w:r>
      <w:r w:rsidR="00D54941">
        <w:rPr>
          <w:rFonts w:ascii="Times New Roman" w:hAnsi="Times New Roman" w:cs="Times New Roman"/>
          <w:sz w:val="24"/>
          <w:szCs w:val="24"/>
        </w:rPr>
        <w:t>.</w:t>
      </w:r>
      <w:r w:rsidRPr="00F6281E">
        <w:rPr>
          <w:rFonts w:ascii="Times New Roman" w:hAnsi="Times New Roman" w:cs="Times New Roman"/>
          <w:sz w:val="24"/>
          <w:szCs w:val="24"/>
        </w:rPr>
        <w:t xml:space="preserve"> The</w:t>
      </w:r>
      <w:r w:rsidR="00A51A1E"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product can be separated from the reaction mixture by distillation and after purification, it can be</w:t>
      </w:r>
      <w:r w:rsidR="00A51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weighed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the percentage yield calculated.</w:t>
      </w:r>
    </w:p>
    <w:p w14:paraId="395167C3" w14:textId="77777777" w:rsidR="003A6B41" w:rsidRPr="00A51A1E" w:rsidRDefault="003A6B41" w:rsidP="003A6B4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30687F3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C9A1C2B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Cyclohexanol and its vapour </w:t>
      </w:r>
      <w:r w:rsidRPr="006057AE">
        <w:rPr>
          <w:rFonts w:ascii="Times New Roman" w:hAnsi="Times New Roman" w:cs="Times New Roman"/>
          <w:sz w:val="24"/>
          <w:szCs w:val="24"/>
        </w:rPr>
        <w:t>is harmful if swallowed or inhaled and a skin/respiratory irritant</w:t>
      </w:r>
      <w:r w:rsidRPr="00756A54">
        <w:rPr>
          <w:rFonts w:ascii="Times New Roman" w:hAnsi="Times New Roman" w:cs="Times New Roman"/>
          <w:sz w:val="24"/>
          <w:szCs w:val="24"/>
        </w:rPr>
        <w:t>.</w:t>
      </w:r>
      <w:r w:rsidRPr="00F6281E">
        <w:rPr>
          <w:rFonts w:ascii="Times New Roman" w:hAnsi="Times New Roman" w:cs="Times New Roman"/>
          <w:sz w:val="24"/>
          <w:szCs w:val="24"/>
        </w:rPr>
        <w:t xml:space="preserve"> Wear </w:t>
      </w:r>
      <w:r>
        <w:rPr>
          <w:rFonts w:ascii="Times New Roman" w:hAnsi="Times New Roman" w:cs="Times New Roman"/>
          <w:sz w:val="24"/>
          <w:szCs w:val="24"/>
        </w:rPr>
        <w:t xml:space="preserve">eye protection and </w:t>
      </w:r>
      <w:r w:rsidRPr="00F6281E">
        <w:rPr>
          <w:rFonts w:ascii="Times New Roman" w:hAnsi="Times New Roman" w:cs="Times New Roman"/>
          <w:sz w:val="24"/>
          <w:szCs w:val="24"/>
        </w:rPr>
        <w:t>gloves.</w:t>
      </w:r>
    </w:p>
    <w:p w14:paraId="2F375B84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85 % phosphoric acid is corrosive; it bums and irritates the skin and eyes. It is a systemic irritant if inhaled and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 xml:space="preserve">swallowed, causes serious internal injury. 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</w:t>
      </w:r>
      <w:r w:rsidRPr="00F6281E">
        <w:rPr>
          <w:rFonts w:ascii="Times New Roman" w:hAnsi="Times New Roman" w:cs="Times New Roman"/>
          <w:sz w:val="24"/>
          <w:szCs w:val="24"/>
        </w:rPr>
        <w:t>gloves.</w:t>
      </w:r>
    </w:p>
    <w:p w14:paraId="79BEA2C7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Anhydrous calcium chloride i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F6281E">
        <w:rPr>
          <w:rFonts w:ascii="Times New Roman" w:hAnsi="Times New Roman" w:cs="Times New Roman"/>
          <w:sz w:val="24"/>
          <w:szCs w:val="24"/>
        </w:rPr>
        <w:t xml:space="preserve">itates the eyes,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lungs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skin. Wear gloves.</w:t>
      </w:r>
    </w:p>
    <w:p w14:paraId="2177A59B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Cyclohexene is </w:t>
      </w:r>
      <w:r w:rsidRPr="002D3BE8">
        <w:rPr>
          <w:rFonts w:ascii="Times New Roman" w:hAnsi="Times New Roman" w:cs="Times New Roman"/>
          <w:sz w:val="24"/>
          <w:szCs w:val="24"/>
        </w:rPr>
        <w:t>extremely flammable, harmful if swallowed and toxic in contact with skin.</w:t>
      </w:r>
      <w: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Wear gloves. At the end of the experiment, dispose of the cyclohexene since it may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unstable peroxides if it is stored.</w:t>
      </w:r>
    </w:p>
    <w:p w14:paraId="0618E1C9" w14:textId="77777777" w:rsidR="003A6B41" w:rsidRPr="00F6281E" w:rsidRDefault="003A6B41" w:rsidP="003A6B4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Bromine solution causes bums and is toxic. Wear gloves. If any splashes on the skin. wash it off with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thiosulphate solution.</w:t>
      </w:r>
    </w:p>
    <w:p w14:paraId="30DA1481" w14:textId="77777777" w:rsidR="003A6B41" w:rsidRPr="00F6281E" w:rsidRDefault="003A6B41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7A7D6F4" w14:textId="77777777" w:rsidR="00F6281E" w:rsidRPr="00A51A1E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A1E" w:rsidRPr="00A51A1E" w14:paraId="31D7CAB5" w14:textId="77777777" w:rsidTr="00A51A1E">
        <w:tc>
          <w:tcPr>
            <w:tcW w:w="4675" w:type="dxa"/>
          </w:tcPr>
          <w:p w14:paraId="0272FFE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85 % phosphoric acid</w:t>
            </w:r>
          </w:p>
        </w:tc>
        <w:tc>
          <w:tcPr>
            <w:tcW w:w="4675" w:type="dxa"/>
          </w:tcPr>
          <w:p w14:paraId="10D0B5B6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cyclohexanol</w:t>
            </w:r>
          </w:p>
        </w:tc>
      </w:tr>
      <w:tr w:rsidR="00A51A1E" w:rsidRPr="00A51A1E" w14:paraId="47FAF899" w14:textId="77777777" w:rsidTr="00A51A1E">
        <w:tc>
          <w:tcPr>
            <w:tcW w:w="4675" w:type="dxa"/>
          </w:tcPr>
          <w:p w14:paraId="3E884617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saturated sodium chloride solution</w:t>
            </w:r>
          </w:p>
        </w:tc>
        <w:tc>
          <w:tcPr>
            <w:tcW w:w="4675" w:type="dxa"/>
          </w:tcPr>
          <w:p w14:paraId="0CF5AD0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anhydrous calcium chloride</w:t>
            </w:r>
          </w:p>
        </w:tc>
      </w:tr>
      <w:tr w:rsidR="00A51A1E" w:rsidRPr="00A51A1E" w14:paraId="13875E95" w14:textId="77777777" w:rsidTr="00A51A1E">
        <w:tc>
          <w:tcPr>
            <w:tcW w:w="4675" w:type="dxa"/>
          </w:tcPr>
          <w:p w14:paraId="021FDB61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round-bottomed</w:t>
            </w:r>
            <w:proofErr w:type="gramEnd"/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ﬂasks </w:t>
            </w:r>
          </w:p>
        </w:tc>
        <w:tc>
          <w:tcPr>
            <w:tcW w:w="4675" w:type="dxa"/>
          </w:tcPr>
          <w:p w14:paraId="1B2FCAE4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cork ring</w:t>
            </w:r>
          </w:p>
        </w:tc>
      </w:tr>
      <w:tr w:rsidR="00A51A1E" w:rsidRPr="00A51A1E" w14:paraId="7D37FB79" w14:textId="77777777" w:rsidTr="00A51A1E">
        <w:tc>
          <w:tcPr>
            <w:tcW w:w="4675" w:type="dxa"/>
          </w:tcPr>
          <w:p w14:paraId="4B4424C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condenser</w:t>
            </w:r>
          </w:p>
        </w:tc>
        <w:tc>
          <w:tcPr>
            <w:tcW w:w="4675" w:type="dxa"/>
          </w:tcPr>
          <w:p w14:paraId="1043343E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still head</w:t>
            </w:r>
          </w:p>
        </w:tc>
      </w:tr>
      <w:tr w:rsidR="00A51A1E" w:rsidRPr="00A51A1E" w14:paraId="1834EA49" w14:textId="77777777" w:rsidTr="00A51A1E">
        <w:tc>
          <w:tcPr>
            <w:tcW w:w="4675" w:type="dxa"/>
          </w:tcPr>
          <w:p w14:paraId="67B73FB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receiver adapter anti-bumping granules</w:t>
            </w:r>
          </w:p>
        </w:tc>
        <w:tc>
          <w:tcPr>
            <w:tcW w:w="4675" w:type="dxa"/>
          </w:tcPr>
          <w:p w14:paraId="7C13A1D9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thermometer adapter bromine solution</w:t>
            </w:r>
          </w:p>
        </w:tc>
      </w:tr>
      <w:tr w:rsidR="00A51A1E" w:rsidRPr="00A51A1E" w14:paraId="1945D148" w14:textId="77777777" w:rsidTr="00A51A1E">
        <w:tc>
          <w:tcPr>
            <w:tcW w:w="4675" w:type="dxa"/>
          </w:tcPr>
          <w:p w14:paraId="410CAE16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4675" w:type="dxa"/>
          </w:tcPr>
          <w:p w14:paraId="1E7F6B58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A51A1E" w:rsidRPr="00A51A1E" w14:paraId="7D6F1FF9" w14:textId="77777777" w:rsidTr="00A51A1E">
        <w:tc>
          <w:tcPr>
            <w:tcW w:w="4675" w:type="dxa"/>
          </w:tcPr>
          <w:p w14:paraId="267A877B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heating mantle</w:t>
            </w:r>
          </w:p>
        </w:tc>
        <w:tc>
          <w:tcPr>
            <w:tcW w:w="4675" w:type="dxa"/>
          </w:tcPr>
          <w:p w14:paraId="45AC48B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</w:t>
            </w:r>
          </w:p>
        </w:tc>
      </w:tr>
      <w:tr w:rsidR="00A51A1E" w:rsidRPr="00A51A1E" w14:paraId="60E923D4" w14:textId="77777777" w:rsidTr="00A51A1E">
        <w:tc>
          <w:tcPr>
            <w:tcW w:w="4675" w:type="dxa"/>
          </w:tcPr>
          <w:p w14:paraId="2B2A7ED5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clamp stands and clamps</w:t>
            </w:r>
          </w:p>
        </w:tc>
        <w:tc>
          <w:tcPr>
            <w:tcW w:w="4675" w:type="dxa"/>
          </w:tcPr>
          <w:p w14:paraId="18507019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measuring cylinder</w:t>
            </w:r>
          </w:p>
        </w:tc>
      </w:tr>
      <w:tr w:rsidR="00A51A1E" w:rsidRPr="00A51A1E" w14:paraId="45A8F3FD" w14:textId="77777777" w:rsidTr="00A51A1E">
        <w:tc>
          <w:tcPr>
            <w:tcW w:w="4675" w:type="dxa"/>
          </w:tcPr>
          <w:p w14:paraId="6B10776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conical ﬂask</w:t>
            </w:r>
          </w:p>
        </w:tc>
        <w:tc>
          <w:tcPr>
            <w:tcW w:w="4675" w:type="dxa"/>
          </w:tcPr>
          <w:p w14:paraId="71C24A4A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test tube and rack</w:t>
            </w:r>
          </w:p>
        </w:tc>
      </w:tr>
      <w:tr w:rsidR="00A51A1E" w:rsidRPr="00A51A1E" w14:paraId="18366549" w14:textId="77777777" w:rsidTr="00A51A1E">
        <w:tc>
          <w:tcPr>
            <w:tcW w:w="4675" w:type="dxa"/>
          </w:tcPr>
          <w:p w14:paraId="7DA51B88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421E1C74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73072" w14:textId="77777777" w:rsidR="00A51A1E" w:rsidRPr="00F6281E" w:rsidRDefault="00A51A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A585E31" w14:textId="3D4EE970" w:rsidR="00F6281E" w:rsidRPr="00A51A1E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3F9FFF37" w14:textId="1E640B12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Weigh a </w:t>
      </w:r>
      <w:r w:rsidR="00A51A1E" w:rsidRPr="00C330F1">
        <w:rPr>
          <w:rFonts w:ascii="Times New Roman" w:hAnsi="Times New Roman" w:cs="Times New Roman"/>
          <w:sz w:val="24"/>
          <w:szCs w:val="24"/>
        </w:rPr>
        <w:t>50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supported on a cork ring. To the ﬂask, add about 20 g of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cyclohexanol and reweigh the ﬂask and its contents.</w:t>
      </w:r>
    </w:p>
    <w:p w14:paraId="780EBFC3" w14:textId="5A173B85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To the cyclohexanol, add dropwise with swirling approximately 8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85 % phosphoric acid.</w:t>
      </w:r>
    </w:p>
    <w:p w14:paraId="3A3CD87F" w14:textId="7AE84DB1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Add a few anti-bumping granules to the reaction mixture and set up the apparatus for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distillation. Gently heat the mixture for about 15 minutes - do not allow it to boil. Raise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temperature and distil the mixture very slowly, collecting the liquid which comes over between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70 and 90</w:t>
      </w:r>
      <w:r w:rsidR="00A51A1E" w:rsidRPr="00C330F1">
        <w:rPr>
          <w:rFonts w:ascii="Calibri" w:hAnsi="Calibri" w:cs="Calibri"/>
          <w:sz w:val="24"/>
          <w:szCs w:val="24"/>
        </w:rPr>
        <w:t>°</w:t>
      </w:r>
      <w:r w:rsidRPr="00C330F1">
        <w:rPr>
          <w:rFonts w:ascii="Times New Roman" w:hAnsi="Times New Roman" w:cs="Times New Roman"/>
          <w:sz w:val="24"/>
          <w:szCs w:val="24"/>
        </w:rPr>
        <w:t>C.</w:t>
      </w:r>
    </w:p>
    <w:p w14:paraId="4B4A613E" w14:textId="4E2C60D3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Wash the distillation apparatus and leave it to dry.</w:t>
      </w:r>
    </w:p>
    <w:p w14:paraId="41E3E118" w14:textId="0CA6124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Pour the distillate into a separating funnel and add about an equal volume of saturated sodium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chloride solution. Stopper the funnel and shake the contents vigorously. (Sodium chloride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 xml:space="preserve">solution is used rather than water because it is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more dense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and will separate from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cyclohexene more rapidly)</w:t>
      </w:r>
    </w:p>
    <w:p w14:paraId="5E3F2644" w14:textId="6018E066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Clamp the separating funnel and allow the two layers to separate.</w:t>
      </w:r>
    </w:p>
    <w:p w14:paraId="58232CB5" w14:textId="396A279F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Remove the stopper from the funnel and run off the lower aqueous layer into a beaker and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dispose of it down the sink.</w:t>
      </w:r>
    </w:p>
    <w:p w14:paraId="157197FF" w14:textId="15C72146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Run the top layer (the crude alkene) into a small conical ﬂask and add a few pieces of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anhydrous calcium chloride. Stopper the ﬂask and shake the mixture for a few minutes until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liquid is clear.</w:t>
      </w:r>
    </w:p>
    <w:p w14:paraId="41E0CA0F" w14:textId="5257826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Weigh a dry 50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</w:t>
      </w:r>
      <w:r w:rsidR="00A51A1E" w:rsidRPr="00C330F1">
        <w:rPr>
          <w:rFonts w:ascii="Times New Roman" w:hAnsi="Times New Roman" w:cs="Times New Roman"/>
          <w:sz w:val="24"/>
          <w:szCs w:val="24"/>
        </w:rPr>
        <w:t>-</w:t>
      </w:r>
      <w:r w:rsidRPr="00C330F1">
        <w:rPr>
          <w:rFonts w:ascii="Times New Roman" w:hAnsi="Times New Roman" w:cs="Times New Roman"/>
          <w:sz w:val="24"/>
          <w:szCs w:val="24"/>
        </w:rPr>
        <w:t>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in which to collect the pure cyclohexene.</w:t>
      </w:r>
    </w:p>
    <w:p w14:paraId="66236A8C" w14:textId="253405FA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Decant the alkene into another dry 50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and add a few anti-bumping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granules. Distil the alkene very slowly collecting the liquid which comes over between 8</w:t>
      </w:r>
      <w:r w:rsidR="00C330F1" w:rsidRPr="00C330F1">
        <w:rPr>
          <w:rFonts w:ascii="Times New Roman" w:hAnsi="Times New Roman" w:cs="Times New Roman"/>
          <w:sz w:val="24"/>
          <w:szCs w:val="24"/>
        </w:rPr>
        <w:t>1</w:t>
      </w:r>
      <w:r w:rsidRPr="00C330F1">
        <w:rPr>
          <w:rFonts w:ascii="Times New Roman" w:hAnsi="Times New Roman" w:cs="Times New Roman"/>
          <w:sz w:val="24"/>
          <w:szCs w:val="24"/>
        </w:rPr>
        <w:t xml:space="preserve"> and</w:t>
      </w:r>
      <w:r w:rsidR="00C330F1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85</w:t>
      </w:r>
      <w:r w:rsidR="00C330F1" w:rsidRPr="00C330F1">
        <w:rPr>
          <w:rFonts w:ascii="Calibri" w:hAnsi="Calibri" w:cs="Calibri"/>
          <w:sz w:val="24"/>
          <w:szCs w:val="24"/>
        </w:rPr>
        <w:t>°</w:t>
      </w:r>
      <w:r w:rsidRPr="00C330F1">
        <w:rPr>
          <w:rFonts w:ascii="Times New Roman" w:hAnsi="Times New Roman" w:cs="Times New Roman"/>
          <w:sz w:val="24"/>
          <w:szCs w:val="24"/>
        </w:rPr>
        <w:t xml:space="preserve">C in the </w:t>
      </w:r>
      <w:proofErr w:type="spellStart"/>
      <w:r w:rsidRPr="00C330F1">
        <w:rPr>
          <w:rFonts w:ascii="Times New Roman" w:hAnsi="Times New Roman" w:cs="Times New Roman"/>
          <w:sz w:val="24"/>
          <w:szCs w:val="24"/>
        </w:rPr>
        <w:t>preweighed</w:t>
      </w:r>
      <w:proofErr w:type="spellEnd"/>
      <w:r w:rsidRPr="00C330F1">
        <w:rPr>
          <w:rFonts w:ascii="Times New Roman" w:hAnsi="Times New Roman" w:cs="Times New Roman"/>
          <w:sz w:val="24"/>
          <w:szCs w:val="24"/>
        </w:rPr>
        <w:t xml:space="preserve"> ﬂask.</w:t>
      </w:r>
    </w:p>
    <w:p w14:paraId="77BB6CB9" w14:textId="7777777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Weigh the ﬂask and product.</w:t>
      </w:r>
    </w:p>
    <w:p w14:paraId="6C46FCAD" w14:textId="7777777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Carry out a test to show that the product is unsaturated.</w:t>
      </w:r>
    </w:p>
    <w:p w14:paraId="7A586245" w14:textId="57D60E40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Calculate the percentage yield of cyclohexene</w:t>
      </w:r>
    </w:p>
    <w:p w14:paraId="2BBEE0C9" w14:textId="77777777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746E8B7" w14:textId="77777777" w:rsidR="0055399A" w:rsidRPr="0082272C" w:rsidRDefault="0055399A" w:rsidP="0055399A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72C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065A7C57" w14:textId="77777777" w:rsidR="0055399A" w:rsidRPr="00F6281E" w:rsidRDefault="0055399A" w:rsidP="0055399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Concentrated phosphoric acid is preferred to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concentrated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sulphuric acid as a dehydrating agent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for alcohols because it gives a higher yield of alkene. With concentrated sulphuric acid,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 xml:space="preserve">side reactions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occur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it tends to produce extensive cha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281E">
        <w:rPr>
          <w:rFonts w:ascii="Times New Roman" w:hAnsi="Times New Roman" w:cs="Times New Roman"/>
          <w:sz w:val="24"/>
          <w:szCs w:val="24"/>
        </w:rPr>
        <w:t>ring.</w:t>
      </w:r>
    </w:p>
    <w:p w14:paraId="5860D07F" w14:textId="77777777" w:rsidR="0055399A" w:rsidRPr="00F6281E" w:rsidRDefault="0055399A" w:rsidP="0055399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To cut down loss of the volatile cyclohexene during distillation, the receiving ﬂask could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placed in an ice bath.</w:t>
      </w:r>
    </w:p>
    <w:p w14:paraId="3F8E2EAD" w14:textId="77777777" w:rsidR="00CB4B7E" w:rsidRDefault="00CB4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2A6824" w14:textId="2F085198" w:rsidR="00F6281E" w:rsidRPr="003A6B41" w:rsidRDefault="003A6B41" w:rsidP="00F6281E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23E9EA4C" w14:textId="77777777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5FCE2872" w14:textId="77777777" w:rsidR="00F6281E" w:rsidRPr="006C60B5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60B5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60B5" w:rsidRPr="006C60B5" w14:paraId="5D9AE27C" w14:textId="77777777" w:rsidTr="006C60B5">
        <w:tc>
          <w:tcPr>
            <w:tcW w:w="4675" w:type="dxa"/>
          </w:tcPr>
          <w:p w14:paraId="379015EF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cyclohexanol (~20 g)</w:t>
            </w:r>
          </w:p>
        </w:tc>
        <w:tc>
          <w:tcPr>
            <w:tcW w:w="4675" w:type="dxa"/>
          </w:tcPr>
          <w:p w14:paraId="2DA63DBA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85 % phosphoric acid (8 cm</w:t>
            </w:r>
            <w:r w:rsidRPr="006C6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60B5" w:rsidRPr="006C60B5" w14:paraId="36ECFFDB" w14:textId="77777777" w:rsidTr="006C60B5">
        <w:tc>
          <w:tcPr>
            <w:tcW w:w="4675" w:type="dxa"/>
          </w:tcPr>
          <w:p w14:paraId="19EF87B1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saturated sodium chloride solution (~30 cm</w:t>
            </w:r>
            <w:r w:rsidRPr="006C6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15354035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anhydrous calcium chloride (a few pieces)</w:t>
            </w:r>
          </w:p>
        </w:tc>
      </w:tr>
      <w:tr w:rsidR="006C60B5" w:rsidRPr="006C60B5" w14:paraId="6F8A34A7" w14:textId="77777777" w:rsidTr="006C60B5">
        <w:tc>
          <w:tcPr>
            <w:tcW w:w="4675" w:type="dxa"/>
          </w:tcPr>
          <w:p w14:paraId="3D203CCA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  <w:tc>
          <w:tcPr>
            <w:tcW w:w="4675" w:type="dxa"/>
          </w:tcPr>
          <w:p w14:paraId="18C8EF1F" w14:textId="77777777" w:rsidR="006C60B5" w:rsidRPr="006C60B5" w:rsidRDefault="006C60B5" w:rsidP="00E25D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bromine solution (~l cm</w:t>
            </w:r>
            <w:r w:rsidRPr="006C6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) (dilute solution of bromine in water)</w:t>
            </w:r>
          </w:p>
        </w:tc>
      </w:tr>
    </w:tbl>
    <w:p w14:paraId="0771FF27" w14:textId="77777777" w:rsidR="006C60B5" w:rsidRDefault="006C60B5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BBF6618" w14:textId="5C0A0516" w:rsidR="00F6281E" w:rsidRPr="006C60B5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60B5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60B5" w:rsidRPr="006C60B5" w14:paraId="04B85134" w14:textId="77777777" w:rsidTr="006C60B5">
        <w:tc>
          <w:tcPr>
            <w:tcW w:w="4675" w:type="dxa"/>
          </w:tcPr>
          <w:p w14:paraId="77E73EE0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6C6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round-bottomed</w:t>
            </w:r>
            <w:proofErr w:type="gramEnd"/>
            <w:r w:rsidRPr="006C60B5">
              <w:rPr>
                <w:rFonts w:ascii="Times New Roman" w:hAnsi="Times New Roman" w:cs="Times New Roman"/>
                <w:sz w:val="24"/>
                <w:szCs w:val="24"/>
              </w:rPr>
              <w:t xml:space="preserve"> ﬂasks (3)</w:t>
            </w:r>
          </w:p>
        </w:tc>
        <w:tc>
          <w:tcPr>
            <w:tcW w:w="4675" w:type="dxa"/>
          </w:tcPr>
          <w:p w14:paraId="7D641CF8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condenser (1)</w:t>
            </w:r>
          </w:p>
        </w:tc>
      </w:tr>
      <w:tr w:rsidR="006C60B5" w:rsidRPr="006C60B5" w14:paraId="2FD76730" w14:textId="77777777" w:rsidTr="006C60B5">
        <w:tc>
          <w:tcPr>
            <w:tcW w:w="4675" w:type="dxa"/>
          </w:tcPr>
          <w:p w14:paraId="2E0FFC27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still head (1)</w:t>
            </w:r>
          </w:p>
        </w:tc>
        <w:tc>
          <w:tcPr>
            <w:tcW w:w="4675" w:type="dxa"/>
          </w:tcPr>
          <w:p w14:paraId="364929DA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receiver adapter (1)</w:t>
            </w:r>
          </w:p>
        </w:tc>
      </w:tr>
      <w:tr w:rsidR="006C60B5" w:rsidRPr="006C60B5" w14:paraId="64506E25" w14:textId="77777777" w:rsidTr="006C60B5">
        <w:tc>
          <w:tcPr>
            <w:tcW w:w="4675" w:type="dxa"/>
          </w:tcPr>
          <w:p w14:paraId="759E71DA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thermometer adapter (1)</w:t>
            </w:r>
          </w:p>
        </w:tc>
        <w:tc>
          <w:tcPr>
            <w:tcW w:w="4675" w:type="dxa"/>
          </w:tcPr>
          <w:p w14:paraId="5A82BB18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0-100°C thermometer (1)</w:t>
            </w:r>
          </w:p>
        </w:tc>
      </w:tr>
      <w:tr w:rsidR="006C60B5" w:rsidRPr="006C60B5" w14:paraId="5EE87D88" w14:textId="77777777" w:rsidTr="006C60B5">
        <w:tc>
          <w:tcPr>
            <w:tcW w:w="4675" w:type="dxa"/>
          </w:tcPr>
          <w:p w14:paraId="7C9E66E4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access to balance (accurate to 0.01 g)</w:t>
            </w:r>
          </w:p>
        </w:tc>
        <w:tc>
          <w:tcPr>
            <w:tcW w:w="4675" w:type="dxa"/>
          </w:tcPr>
          <w:p w14:paraId="63DE36C8" w14:textId="77777777" w:rsidR="006C60B5" w:rsidRPr="006C60B5" w:rsidRDefault="006C60B5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B5">
              <w:rPr>
                <w:rFonts w:ascii="Times New Roman" w:hAnsi="Times New Roman" w:cs="Times New Roman"/>
                <w:sz w:val="24"/>
                <w:szCs w:val="24"/>
              </w:rPr>
              <w:t>heating mantle (1)</w:t>
            </w:r>
          </w:p>
        </w:tc>
      </w:tr>
      <w:tr w:rsidR="00D24A0E" w:rsidRPr="006C60B5" w14:paraId="565B760F" w14:textId="77777777" w:rsidTr="006C60B5">
        <w:tc>
          <w:tcPr>
            <w:tcW w:w="4675" w:type="dxa"/>
          </w:tcPr>
          <w:p w14:paraId="5CE4FD4D" w14:textId="09F8DA2F" w:rsidR="00D24A0E" w:rsidRPr="006C60B5" w:rsidRDefault="00D24A0E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 (1)</w:t>
            </w:r>
          </w:p>
        </w:tc>
        <w:tc>
          <w:tcPr>
            <w:tcW w:w="4675" w:type="dxa"/>
          </w:tcPr>
          <w:p w14:paraId="57D66131" w14:textId="251DBD92" w:rsidR="00D24A0E" w:rsidRPr="006C60B5" w:rsidRDefault="00D24A0E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clamp stands and clamps (2)</w:t>
            </w:r>
          </w:p>
        </w:tc>
      </w:tr>
      <w:tr w:rsidR="00D24A0E" w:rsidRPr="006C60B5" w14:paraId="0F97786D" w14:textId="77777777" w:rsidTr="006C60B5">
        <w:tc>
          <w:tcPr>
            <w:tcW w:w="4675" w:type="dxa"/>
          </w:tcPr>
          <w:p w14:paraId="00F06613" w14:textId="29782051" w:rsidR="00D24A0E" w:rsidRPr="006C60B5" w:rsidRDefault="00D24A0E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measuring cylinder (1)</w:t>
            </w:r>
          </w:p>
        </w:tc>
        <w:tc>
          <w:tcPr>
            <w:tcW w:w="4675" w:type="dxa"/>
          </w:tcPr>
          <w:p w14:paraId="218893B6" w14:textId="535F4D68" w:rsidR="00D24A0E" w:rsidRPr="006C60B5" w:rsidRDefault="00D24A0E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 xml:space="preserve"> conical ﬂask (1)</w:t>
            </w:r>
          </w:p>
        </w:tc>
      </w:tr>
      <w:tr w:rsidR="00D24A0E" w:rsidRPr="006C60B5" w14:paraId="465B99A5" w14:textId="77777777" w:rsidTr="006C60B5">
        <w:tc>
          <w:tcPr>
            <w:tcW w:w="4675" w:type="dxa"/>
          </w:tcPr>
          <w:p w14:paraId="27A9C263" w14:textId="03CA3211" w:rsidR="00D24A0E" w:rsidRPr="006C60B5" w:rsidRDefault="00D24A0E" w:rsidP="00D24A0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test tube (1) and rack (1)</w:t>
            </w:r>
          </w:p>
        </w:tc>
        <w:tc>
          <w:tcPr>
            <w:tcW w:w="4675" w:type="dxa"/>
          </w:tcPr>
          <w:p w14:paraId="36932768" w14:textId="598CEA45" w:rsidR="00D24A0E" w:rsidRPr="006C60B5" w:rsidRDefault="00D24A0E" w:rsidP="008B314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cork ring (1)</w:t>
            </w:r>
          </w:p>
        </w:tc>
      </w:tr>
      <w:tr w:rsidR="00D24A0E" w:rsidRPr="006C60B5" w14:paraId="41A3B073" w14:textId="77777777" w:rsidTr="006C60B5">
        <w:tc>
          <w:tcPr>
            <w:tcW w:w="4675" w:type="dxa"/>
          </w:tcPr>
          <w:p w14:paraId="2C851F88" w14:textId="538CD767" w:rsidR="00D24A0E" w:rsidRPr="00F6281E" w:rsidRDefault="00D24A0E" w:rsidP="00D24A0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E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  <w:tc>
          <w:tcPr>
            <w:tcW w:w="4675" w:type="dxa"/>
          </w:tcPr>
          <w:p w14:paraId="0A1779AE" w14:textId="77777777" w:rsidR="00D24A0E" w:rsidRPr="00F6281E" w:rsidRDefault="00D24A0E" w:rsidP="00D24A0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27023" w14:textId="77777777" w:rsidR="006C60B5" w:rsidRDefault="006C60B5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7ECE256" w14:textId="77777777" w:rsidR="00D24A0E" w:rsidRDefault="00D24A0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0A1BBA4" w14:textId="77777777" w:rsidR="00F6281E" w:rsidRPr="0082272C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72C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1692A7B8" w14:textId="41E6EBAA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Concentrated phosphoric acid is preferred to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concentrated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sulphuric acid as a dehydrating agent</w:t>
      </w:r>
      <w:r w:rsidR="0082272C"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for alcohols because it gives a higher yield of alkene. With concentrated sulphuric acid, more</w:t>
      </w:r>
      <w:r w:rsidR="0082272C"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 xml:space="preserve">side reactions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occur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it tends to produce extensive cha</w:t>
      </w:r>
      <w:r w:rsidR="0082272C">
        <w:rPr>
          <w:rFonts w:ascii="Times New Roman" w:hAnsi="Times New Roman" w:cs="Times New Roman"/>
          <w:sz w:val="24"/>
          <w:szCs w:val="24"/>
        </w:rPr>
        <w:t>r</w:t>
      </w:r>
      <w:r w:rsidRPr="00F6281E">
        <w:rPr>
          <w:rFonts w:ascii="Times New Roman" w:hAnsi="Times New Roman" w:cs="Times New Roman"/>
          <w:sz w:val="24"/>
          <w:szCs w:val="24"/>
        </w:rPr>
        <w:t>ring.</w:t>
      </w:r>
    </w:p>
    <w:p w14:paraId="0C4C346B" w14:textId="0EB50171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To cut down loss of the volatile cyclohexene during distillation, the receiving ﬂask could be</w:t>
      </w:r>
      <w:r w:rsidR="0082272C"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placed in an ice bath.</w:t>
      </w:r>
    </w:p>
    <w:p w14:paraId="6283AD4F" w14:textId="77777777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09C91A1" w14:textId="77777777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33F1D74" w14:textId="77777777" w:rsidR="008A48F4" w:rsidRDefault="008A48F4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A48F4" w:rsidSect="00A747D6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3D0D"/>
    <w:rsid w:val="000657D6"/>
    <w:rsid w:val="000A79A2"/>
    <w:rsid w:val="000C104D"/>
    <w:rsid w:val="00127AB1"/>
    <w:rsid w:val="001566C1"/>
    <w:rsid w:val="00180F20"/>
    <w:rsid w:val="001A1B8F"/>
    <w:rsid w:val="001D18EC"/>
    <w:rsid w:val="001F0C39"/>
    <w:rsid w:val="00214408"/>
    <w:rsid w:val="00251906"/>
    <w:rsid w:val="00255904"/>
    <w:rsid w:val="0025783E"/>
    <w:rsid w:val="00277BAA"/>
    <w:rsid w:val="002B0594"/>
    <w:rsid w:val="002D3BE8"/>
    <w:rsid w:val="002D4FA7"/>
    <w:rsid w:val="0034184C"/>
    <w:rsid w:val="0037733E"/>
    <w:rsid w:val="003A565E"/>
    <w:rsid w:val="003A6B41"/>
    <w:rsid w:val="00436055"/>
    <w:rsid w:val="004538A7"/>
    <w:rsid w:val="00457475"/>
    <w:rsid w:val="00484B9E"/>
    <w:rsid w:val="00494951"/>
    <w:rsid w:val="004A31E3"/>
    <w:rsid w:val="00506428"/>
    <w:rsid w:val="005256A5"/>
    <w:rsid w:val="005269E2"/>
    <w:rsid w:val="005272F3"/>
    <w:rsid w:val="00537CBE"/>
    <w:rsid w:val="0055399A"/>
    <w:rsid w:val="005777D9"/>
    <w:rsid w:val="00587CB5"/>
    <w:rsid w:val="005B3DBB"/>
    <w:rsid w:val="005D6942"/>
    <w:rsid w:val="00604A57"/>
    <w:rsid w:val="006057AE"/>
    <w:rsid w:val="00605C10"/>
    <w:rsid w:val="0066791F"/>
    <w:rsid w:val="00693B25"/>
    <w:rsid w:val="00693CD2"/>
    <w:rsid w:val="006C5EC5"/>
    <w:rsid w:val="006C60B5"/>
    <w:rsid w:val="00714F03"/>
    <w:rsid w:val="007230A5"/>
    <w:rsid w:val="00730E48"/>
    <w:rsid w:val="00743773"/>
    <w:rsid w:val="00756A54"/>
    <w:rsid w:val="0076088F"/>
    <w:rsid w:val="00786D20"/>
    <w:rsid w:val="007A2D47"/>
    <w:rsid w:val="007B096D"/>
    <w:rsid w:val="007B3C4C"/>
    <w:rsid w:val="008030C5"/>
    <w:rsid w:val="00807A12"/>
    <w:rsid w:val="008205DD"/>
    <w:rsid w:val="0082060E"/>
    <w:rsid w:val="0082272C"/>
    <w:rsid w:val="00850399"/>
    <w:rsid w:val="00870E48"/>
    <w:rsid w:val="00881FD5"/>
    <w:rsid w:val="008A44F4"/>
    <w:rsid w:val="008A48F4"/>
    <w:rsid w:val="008F41BC"/>
    <w:rsid w:val="009D67AF"/>
    <w:rsid w:val="009E7D33"/>
    <w:rsid w:val="00A2334E"/>
    <w:rsid w:val="00A479BB"/>
    <w:rsid w:val="00A51A1E"/>
    <w:rsid w:val="00A747D6"/>
    <w:rsid w:val="00AC1A04"/>
    <w:rsid w:val="00AE33FF"/>
    <w:rsid w:val="00B26D03"/>
    <w:rsid w:val="00B66C2D"/>
    <w:rsid w:val="00BA57A8"/>
    <w:rsid w:val="00BB158E"/>
    <w:rsid w:val="00BB4708"/>
    <w:rsid w:val="00BC0985"/>
    <w:rsid w:val="00BE1AE7"/>
    <w:rsid w:val="00BE5CF9"/>
    <w:rsid w:val="00C330F1"/>
    <w:rsid w:val="00C87F41"/>
    <w:rsid w:val="00C96A88"/>
    <w:rsid w:val="00CA3D7A"/>
    <w:rsid w:val="00CA7309"/>
    <w:rsid w:val="00CB4B7E"/>
    <w:rsid w:val="00CD0599"/>
    <w:rsid w:val="00D24A0E"/>
    <w:rsid w:val="00D54941"/>
    <w:rsid w:val="00D86CAF"/>
    <w:rsid w:val="00DE4162"/>
    <w:rsid w:val="00E0210D"/>
    <w:rsid w:val="00E20135"/>
    <w:rsid w:val="00E42904"/>
    <w:rsid w:val="00E464FA"/>
    <w:rsid w:val="00E85A27"/>
    <w:rsid w:val="00EB387B"/>
    <w:rsid w:val="00F31605"/>
    <w:rsid w:val="00F6281E"/>
    <w:rsid w:val="00F661A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9A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3A6B41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3A6B41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98</cp:revision>
  <dcterms:created xsi:type="dcterms:W3CDTF">2020-10-20T16:44:00Z</dcterms:created>
  <dcterms:modified xsi:type="dcterms:W3CDTF">2021-07-07T13:48:00Z</dcterms:modified>
</cp:coreProperties>
</file>