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7B65E2" w14:textId="77777777" w:rsidR="00BC2D98" w:rsidRDefault="00CC1E26">
      <w:r>
        <w:rPr>
          <w:noProof/>
          <w:lang w:eastAsia="en-GB"/>
        </w:rPr>
        <w:drawing>
          <wp:anchor distT="0" distB="0" distL="114300" distR="114300" simplePos="0" relativeHeight="251657216" behindDoc="0" locked="0" layoutInCell="1" allowOverlap="1" wp14:anchorId="237B662C" wp14:editId="237B662D">
            <wp:simplePos x="0" y="0"/>
            <wp:positionH relativeFrom="column">
              <wp:posOffset>3790950</wp:posOffset>
            </wp:positionH>
            <wp:positionV relativeFrom="paragraph">
              <wp:posOffset>-314960</wp:posOffset>
            </wp:positionV>
            <wp:extent cx="2286000" cy="332740"/>
            <wp:effectExtent l="19050" t="0" r="0" b="0"/>
            <wp:wrapSquare wrapText="bothSides"/>
            <wp:docPr id="56" name="Picture 56" descr="rsc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rsc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332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7" w:rightFromText="187" w:vertAnchor="page" w:horzAnchor="margin" w:tblpXSpec="right" w:tblpY="3046"/>
        <w:tblW w:w="2000" w:type="pct"/>
        <w:tblBorders>
          <w:top w:val="single" w:sz="36" w:space="0" w:color="00B050"/>
          <w:bottom w:val="single" w:sz="36" w:space="0" w:color="00B050"/>
          <w:insideH w:val="single" w:sz="36" w:space="0" w:color="00B050"/>
          <w:insideV w:val="single" w:sz="36" w:space="0" w:color="C00000"/>
        </w:tblBorders>
        <w:tblCellMar>
          <w:top w:w="360" w:type="dxa"/>
          <w:left w:w="115" w:type="dxa"/>
          <w:bottom w:w="360" w:type="dxa"/>
          <w:right w:w="115" w:type="dxa"/>
        </w:tblCellMar>
        <w:tblLook w:val="04A0" w:firstRow="1" w:lastRow="0" w:firstColumn="1" w:lastColumn="0" w:noHBand="0" w:noVBand="1"/>
      </w:tblPr>
      <w:tblGrid>
        <w:gridCol w:w="4790"/>
      </w:tblGrid>
      <w:tr w:rsidR="00BC2D98" w:rsidRPr="00DA02AC" w14:paraId="237B65E4" w14:textId="77777777" w:rsidTr="009758D3">
        <w:tc>
          <w:tcPr>
            <w:tcW w:w="0" w:type="auto"/>
          </w:tcPr>
          <w:p w14:paraId="237B65E3" w14:textId="77777777" w:rsidR="00BC2D98" w:rsidRPr="00DA02AC" w:rsidRDefault="008273C1" w:rsidP="009758D3">
            <w:pPr>
              <w:pStyle w:val="NoSpacing"/>
              <w:rPr>
                <w:sz w:val="72"/>
                <w:szCs w:val="72"/>
              </w:rPr>
            </w:pPr>
            <w:r w:rsidRPr="008273C1">
              <w:rPr>
                <w:sz w:val="72"/>
                <w:szCs w:val="72"/>
              </w:rPr>
              <w:t>Chemical Demonstrations</w:t>
            </w:r>
          </w:p>
        </w:tc>
      </w:tr>
      <w:tr w:rsidR="00BC2D98" w:rsidRPr="00DA02AC" w14:paraId="237B65E6" w14:textId="77777777" w:rsidTr="009758D3">
        <w:trPr>
          <w:trHeight w:val="604"/>
        </w:trPr>
        <w:tc>
          <w:tcPr>
            <w:tcW w:w="0" w:type="auto"/>
          </w:tcPr>
          <w:p w14:paraId="237B65E5" w14:textId="77777777" w:rsidR="00BC2D98" w:rsidRPr="00DA02AC" w:rsidRDefault="003E1799" w:rsidP="009758D3">
            <w:pPr>
              <w:pStyle w:val="NoSpacing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Universal Indicator Rainbow</w:t>
            </w:r>
          </w:p>
        </w:tc>
      </w:tr>
    </w:tbl>
    <w:p w14:paraId="237B65E7" w14:textId="77777777" w:rsidR="00BC2D98" w:rsidRDefault="00BC2D98"/>
    <w:p w14:paraId="237B65E8" w14:textId="77777777" w:rsidR="003E1799" w:rsidRPr="00BC15C4" w:rsidRDefault="004F3024" w:rsidP="003E1799">
      <w:pPr>
        <w:rPr>
          <w:b/>
          <w:szCs w:val="24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237B662E" wp14:editId="237B662F">
            <wp:simplePos x="0" y="0"/>
            <wp:positionH relativeFrom="column">
              <wp:posOffset>-186690</wp:posOffset>
            </wp:positionH>
            <wp:positionV relativeFrom="paragraph">
              <wp:posOffset>927735</wp:posOffset>
            </wp:positionV>
            <wp:extent cx="2823210" cy="1417320"/>
            <wp:effectExtent l="19050" t="0" r="0" b="0"/>
            <wp:wrapSquare wrapText="bothSides"/>
            <wp:docPr id="1" name="Picture 1" descr="C:\Users\esoc\AppData\Local\Microsoft\Windows\Temporary Internet Files\Content.IE5\KV1F6S6T\rainbow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soc\AppData\Local\Microsoft\Windows\Temporary Internet Files\Content.IE5\KV1F6S6T\rainbow[1]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210" cy="1417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002AB">
        <w:rPr>
          <w:noProof/>
          <w:sz w:val="72"/>
          <w:szCs w:val="72"/>
          <w:lang w:eastAsia="en-GB"/>
        </w:rPr>
        <w:pict w14:anchorId="237B6631">
          <v:shapetype id="_x0000_t202" coordsize="21600,21600" o:spt="202" path="m,l,21600r21600,l21600,xe">
            <v:stroke joinstyle="miter"/>
            <v:path gradientshapeok="t" o:connecttype="rect"/>
          </v:shapetype>
          <v:shape id="_x0000_s1081" type="#_x0000_t202" style="position:absolute;margin-left:5.25pt;margin-top:546.75pt;width:456.75pt;height:169.05pt;z-index:-251657216;mso-height-percent:200;mso-position-horizontal-relative:text;mso-position-vertical-relative:page;mso-height-percent:200;mso-width-relative:margin;mso-height-relative:margin" wrapcoords="-90 -58 -90 21542 21690 21542 21690 -58 -90 -58" o:allowincell="f" o:allowoverlap="f">
            <v:textbox style="mso-fit-shape-to-text:t">
              <w:txbxContent>
                <w:p w14:paraId="237B6638" w14:textId="77777777" w:rsidR="005B6CE3" w:rsidRPr="006D2084" w:rsidRDefault="005B6CE3" w:rsidP="00C31330">
                  <w:pPr>
                    <w:rPr>
                      <w:sz w:val="28"/>
                      <w:szCs w:val="28"/>
                    </w:rPr>
                  </w:pPr>
                  <w:r w:rsidRPr="006D2084">
                    <w:rPr>
                      <w:sz w:val="28"/>
                      <w:szCs w:val="28"/>
                    </w:rPr>
                    <w:t>This reaction can be applied to curriculum for excellence.</w:t>
                  </w:r>
                </w:p>
                <w:p w14:paraId="237B6639" w14:textId="77777777" w:rsidR="005B6CE3" w:rsidRPr="006D2084" w:rsidRDefault="005B6CE3" w:rsidP="00C31330">
                  <w:pPr>
                    <w:rPr>
                      <w:sz w:val="28"/>
                      <w:szCs w:val="28"/>
                    </w:rPr>
                  </w:pPr>
                  <w:r w:rsidRPr="006D2084">
                    <w:rPr>
                      <w:sz w:val="28"/>
                      <w:szCs w:val="28"/>
                    </w:rPr>
                    <w:t>SCN 3-19a</w:t>
                  </w:r>
                </w:p>
                <w:p w14:paraId="237B663A" w14:textId="77777777" w:rsidR="005B6CE3" w:rsidRPr="00A556FA" w:rsidRDefault="005B6CE3" w:rsidP="00C31330">
                  <w:pPr>
                    <w:ind w:left="1276"/>
                    <w:rPr>
                      <w:i/>
                      <w:sz w:val="28"/>
                      <w:szCs w:val="28"/>
                    </w:rPr>
                  </w:pPr>
                  <w:r w:rsidRPr="00A556FA">
                    <w:rPr>
                      <w:i/>
                      <w:sz w:val="28"/>
                      <w:szCs w:val="28"/>
                    </w:rPr>
                    <w:t>Through experimentation, I can identify indicators of chemical reactions having occurred ...</w:t>
                  </w:r>
                </w:p>
                <w:p w14:paraId="237B663B" w14:textId="77777777" w:rsidR="005B6CE3" w:rsidRDefault="005B6CE3" w:rsidP="00C31330">
                  <w:pPr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CfE</w:t>
                  </w:r>
                  <w:proofErr w:type="spellEnd"/>
                  <w:r w:rsidRPr="00A556FA">
                    <w:rPr>
                      <w:sz w:val="28"/>
                      <w:szCs w:val="28"/>
                    </w:rPr>
                    <w:t xml:space="preserve"> Higher</w:t>
                  </w:r>
                  <w:r>
                    <w:rPr>
                      <w:sz w:val="28"/>
                      <w:szCs w:val="28"/>
                    </w:rPr>
                    <w:t xml:space="preserve"> – Chemistry in Society</w:t>
                  </w:r>
                  <w:r w:rsidRPr="00A556FA">
                    <w:rPr>
                      <w:sz w:val="28"/>
                      <w:szCs w:val="28"/>
                    </w:rPr>
                    <w:t xml:space="preserve"> </w:t>
                  </w:r>
                </w:p>
                <w:p w14:paraId="237B663C" w14:textId="77777777" w:rsidR="005B6CE3" w:rsidRPr="00A556FA" w:rsidRDefault="005B6CE3" w:rsidP="00C31330">
                  <w:pPr>
                    <w:ind w:left="1276" w:firstLine="11"/>
                    <w:rPr>
                      <w:i/>
                      <w:sz w:val="28"/>
                      <w:szCs w:val="28"/>
                    </w:rPr>
                  </w:pPr>
                  <w:r>
                    <w:rPr>
                      <w:i/>
                      <w:sz w:val="28"/>
                      <w:szCs w:val="28"/>
                    </w:rPr>
                    <w:t>O</w:t>
                  </w:r>
                  <w:r w:rsidRPr="00A556FA">
                    <w:rPr>
                      <w:i/>
                      <w:sz w:val="28"/>
                      <w:szCs w:val="28"/>
                    </w:rPr>
                    <w:t xml:space="preserve">xidising </w:t>
                  </w:r>
                  <w:r>
                    <w:rPr>
                      <w:i/>
                      <w:sz w:val="28"/>
                      <w:szCs w:val="28"/>
                    </w:rPr>
                    <w:t>or</w:t>
                  </w:r>
                  <w:r w:rsidRPr="00A556FA">
                    <w:rPr>
                      <w:i/>
                      <w:sz w:val="28"/>
                      <w:szCs w:val="28"/>
                    </w:rPr>
                    <w:t xml:space="preserve"> reducing agents</w:t>
                  </w:r>
                </w:p>
              </w:txbxContent>
            </v:textbox>
            <w10:wrap type="tight" anchory="page"/>
          </v:shape>
        </w:pict>
      </w:r>
      <w:r w:rsidR="00CC1E26">
        <w:rPr>
          <w:noProof/>
          <w:lang w:eastAsia="en-GB"/>
        </w:rPr>
        <w:drawing>
          <wp:anchor distT="0" distB="0" distL="114300" distR="114300" simplePos="0" relativeHeight="251656192" behindDoc="0" locked="0" layoutInCell="1" allowOverlap="1" wp14:anchorId="237B6632" wp14:editId="237B6633">
            <wp:simplePos x="0" y="0"/>
            <wp:positionH relativeFrom="column">
              <wp:posOffset>-523875</wp:posOffset>
            </wp:positionH>
            <wp:positionV relativeFrom="paragraph">
              <wp:posOffset>-1172210</wp:posOffset>
            </wp:positionV>
            <wp:extent cx="971550" cy="971550"/>
            <wp:effectExtent l="19050" t="0" r="0" b="0"/>
            <wp:wrapSquare wrapText="bothSides"/>
            <wp:docPr id="55" name="Picture 55" descr="SSERC_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SSERC_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C2D98">
        <w:rPr>
          <w:lang w:eastAsia="en-GB"/>
        </w:rPr>
        <w:br w:type="page"/>
      </w:r>
      <w:r w:rsidR="003E1799" w:rsidRPr="00BC15C4">
        <w:rPr>
          <w:b/>
          <w:szCs w:val="24"/>
        </w:rPr>
        <w:lastRenderedPageBreak/>
        <w:t>Introduction</w:t>
      </w:r>
    </w:p>
    <w:p w14:paraId="237B65E9" w14:textId="77777777" w:rsidR="003E1799" w:rsidRDefault="003E1799" w:rsidP="003E1799">
      <w:pPr>
        <w:rPr>
          <w:szCs w:val="24"/>
        </w:rPr>
      </w:pPr>
      <w:r w:rsidRPr="00BC15C4">
        <w:rPr>
          <w:szCs w:val="24"/>
        </w:rPr>
        <w:t xml:space="preserve">Universal Indicator is a full-range </w:t>
      </w:r>
      <w:proofErr w:type="gramStart"/>
      <w:r w:rsidRPr="00BC15C4">
        <w:rPr>
          <w:szCs w:val="24"/>
        </w:rPr>
        <w:t>indicator</w:t>
      </w:r>
      <w:proofErr w:type="gramEnd"/>
      <w:r w:rsidRPr="00BC15C4">
        <w:rPr>
          <w:szCs w:val="24"/>
        </w:rPr>
        <w:t xml:space="preserve"> and the pH is shown by a range of different colours. The acid</w:t>
      </w:r>
      <w:r>
        <w:rPr>
          <w:szCs w:val="24"/>
        </w:rPr>
        <w:t xml:space="preserve"> </w:t>
      </w:r>
      <w:r w:rsidRPr="00BC15C4">
        <w:rPr>
          <w:szCs w:val="24"/>
        </w:rPr>
        <w:t xml:space="preserve">colours are shades of red, </w:t>
      </w:r>
      <w:proofErr w:type="gramStart"/>
      <w:r w:rsidRPr="00BC15C4">
        <w:rPr>
          <w:szCs w:val="24"/>
        </w:rPr>
        <w:t>orange</w:t>
      </w:r>
      <w:proofErr w:type="gramEnd"/>
      <w:r w:rsidRPr="00BC15C4">
        <w:rPr>
          <w:szCs w:val="24"/>
        </w:rPr>
        <w:t xml:space="preserve"> and yellow (pH 1</w:t>
      </w:r>
      <w:r w:rsidRPr="00BC15C4">
        <w:rPr>
          <w:rFonts w:hint="eastAsia"/>
          <w:szCs w:val="24"/>
        </w:rPr>
        <w:t>–</w:t>
      </w:r>
      <w:r w:rsidRPr="00BC15C4">
        <w:rPr>
          <w:szCs w:val="24"/>
        </w:rPr>
        <w:t>6). Neutral is green (pH 7) and the alkali colours are</w:t>
      </w:r>
      <w:r>
        <w:rPr>
          <w:szCs w:val="24"/>
        </w:rPr>
        <w:t xml:space="preserve"> </w:t>
      </w:r>
      <w:r w:rsidRPr="00BC15C4">
        <w:rPr>
          <w:szCs w:val="24"/>
        </w:rPr>
        <w:t xml:space="preserve">dark greens, </w:t>
      </w:r>
      <w:proofErr w:type="gramStart"/>
      <w:r w:rsidRPr="00BC15C4">
        <w:rPr>
          <w:szCs w:val="24"/>
        </w:rPr>
        <w:t>blues</w:t>
      </w:r>
      <w:proofErr w:type="gramEnd"/>
      <w:r w:rsidRPr="00BC15C4">
        <w:rPr>
          <w:szCs w:val="24"/>
        </w:rPr>
        <w:t xml:space="preserve"> and purples (pH 8</w:t>
      </w:r>
      <w:r w:rsidRPr="00BC15C4">
        <w:rPr>
          <w:rFonts w:hint="eastAsia"/>
          <w:szCs w:val="24"/>
        </w:rPr>
        <w:t>–</w:t>
      </w:r>
      <w:r w:rsidRPr="00BC15C4">
        <w:rPr>
          <w:szCs w:val="24"/>
        </w:rPr>
        <w:t>14).</w:t>
      </w:r>
    </w:p>
    <w:p w14:paraId="237B65EA" w14:textId="47AB3950" w:rsidR="003E1799" w:rsidRDefault="003E1799" w:rsidP="003E1799">
      <w:pPr>
        <w:rPr>
          <w:szCs w:val="24"/>
        </w:rPr>
      </w:pPr>
      <w:r>
        <w:rPr>
          <w:szCs w:val="24"/>
        </w:rPr>
        <w:t>In this demonstration, a</w:t>
      </w:r>
      <w:r w:rsidRPr="00BC15C4">
        <w:rPr>
          <w:szCs w:val="24"/>
        </w:rPr>
        <w:t xml:space="preserve"> </w:t>
      </w:r>
      <w:r w:rsidR="000014D0">
        <w:rPr>
          <w:szCs w:val="24"/>
        </w:rPr>
        <w:t>measuring cylinder is filled with very dilute HCl containin</w:t>
      </w:r>
      <w:r w:rsidR="00151E73">
        <w:rPr>
          <w:szCs w:val="24"/>
        </w:rPr>
        <w:t>g</w:t>
      </w:r>
      <w:r w:rsidR="000014D0">
        <w:rPr>
          <w:szCs w:val="24"/>
        </w:rPr>
        <w:t xml:space="preserve"> indicator. </w:t>
      </w:r>
      <w:r w:rsidR="00151E73">
        <w:rPr>
          <w:szCs w:val="24"/>
        </w:rPr>
        <w:t>A saturated solution of sodium carbonate is poured down the side and establishes a den</w:t>
      </w:r>
      <w:r w:rsidR="00600C87">
        <w:rPr>
          <w:szCs w:val="24"/>
        </w:rPr>
        <w:t>s</w:t>
      </w:r>
      <w:r w:rsidR="00151E73">
        <w:rPr>
          <w:szCs w:val="24"/>
        </w:rPr>
        <w:t xml:space="preserve">ity gradient which </w:t>
      </w:r>
      <w:r w:rsidR="00600C87">
        <w:rPr>
          <w:szCs w:val="24"/>
        </w:rPr>
        <w:t>is also a pH gradient.</w:t>
      </w:r>
    </w:p>
    <w:p w14:paraId="237B65EC" w14:textId="77777777" w:rsidR="003E1799" w:rsidRPr="00BC15C4" w:rsidRDefault="003E1799" w:rsidP="003E1799">
      <w:pPr>
        <w:rPr>
          <w:b/>
          <w:szCs w:val="24"/>
        </w:rPr>
      </w:pPr>
      <w:r w:rsidRPr="00BC15C4">
        <w:rPr>
          <w:b/>
          <w:szCs w:val="24"/>
        </w:rPr>
        <w:t>You will need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21"/>
        <w:gridCol w:w="4621"/>
      </w:tblGrid>
      <w:tr w:rsidR="005E2E44" w:rsidRPr="005E2E44" w14:paraId="237B65FE" w14:textId="77777777" w:rsidTr="001E22C5">
        <w:tc>
          <w:tcPr>
            <w:tcW w:w="4621" w:type="dxa"/>
          </w:tcPr>
          <w:p w14:paraId="237B65FC" w14:textId="77777777" w:rsidR="005E2E44" w:rsidRPr="005E2E44" w:rsidRDefault="005E2E44" w:rsidP="005E2E44">
            <w:pPr>
              <w:spacing w:after="0"/>
              <w:rPr>
                <w:b/>
                <w:sz w:val="22"/>
              </w:rPr>
            </w:pPr>
            <w:r w:rsidRPr="005E2E44">
              <w:rPr>
                <w:b/>
                <w:sz w:val="22"/>
              </w:rPr>
              <w:t>For  Cylinder version</w:t>
            </w:r>
          </w:p>
        </w:tc>
        <w:tc>
          <w:tcPr>
            <w:tcW w:w="4621" w:type="dxa"/>
          </w:tcPr>
          <w:p w14:paraId="237B65FD" w14:textId="77777777" w:rsidR="005E2E44" w:rsidRPr="005E2E44" w:rsidRDefault="005E2E44" w:rsidP="005E2E44">
            <w:pPr>
              <w:spacing w:after="0"/>
              <w:rPr>
                <w:b/>
                <w:sz w:val="22"/>
              </w:rPr>
            </w:pPr>
          </w:p>
        </w:tc>
      </w:tr>
      <w:tr w:rsidR="005E2E44" w:rsidRPr="005E2E44" w14:paraId="237B6601" w14:textId="77777777" w:rsidTr="001E22C5">
        <w:tc>
          <w:tcPr>
            <w:tcW w:w="4621" w:type="dxa"/>
          </w:tcPr>
          <w:p w14:paraId="237B65FF" w14:textId="77777777" w:rsidR="005E2E44" w:rsidRPr="005E2E44" w:rsidRDefault="005E2E44" w:rsidP="005E2E44">
            <w:pPr>
              <w:spacing w:after="0"/>
              <w:rPr>
                <w:i/>
                <w:sz w:val="22"/>
              </w:rPr>
            </w:pPr>
            <w:r w:rsidRPr="005E2E44">
              <w:rPr>
                <w:i/>
                <w:sz w:val="22"/>
              </w:rPr>
              <w:t>250 cm</w:t>
            </w:r>
            <w:r w:rsidRPr="005E2E44">
              <w:rPr>
                <w:i/>
                <w:sz w:val="22"/>
                <w:vertAlign w:val="superscript"/>
              </w:rPr>
              <w:t>3</w:t>
            </w:r>
            <w:r w:rsidRPr="005E2E44">
              <w:rPr>
                <w:i/>
                <w:sz w:val="22"/>
              </w:rPr>
              <w:t xml:space="preserve"> measuring cylinder</w:t>
            </w:r>
          </w:p>
        </w:tc>
        <w:tc>
          <w:tcPr>
            <w:tcW w:w="4621" w:type="dxa"/>
          </w:tcPr>
          <w:p w14:paraId="237B6600" w14:textId="77777777" w:rsidR="005E2E44" w:rsidRPr="005E2E44" w:rsidRDefault="005E2E44" w:rsidP="005E2E44">
            <w:pPr>
              <w:spacing w:after="0"/>
              <w:rPr>
                <w:i/>
                <w:sz w:val="22"/>
              </w:rPr>
            </w:pPr>
            <w:r w:rsidRPr="005E2E44">
              <w:rPr>
                <w:i/>
                <w:sz w:val="22"/>
              </w:rPr>
              <w:t>0.1M HCl about 125 cm</w:t>
            </w:r>
            <w:r w:rsidRPr="005E2E44">
              <w:rPr>
                <w:i/>
                <w:sz w:val="22"/>
                <w:vertAlign w:val="superscript"/>
              </w:rPr>
              <w:t>3</w:t>
            </w:r>
            <w:r w:rsidRPr="005E2E44">
              <w:rPr>
                <w:i/>
                <w:sz w:val="22"/>
              </w:rPr>
              <w:t xml:space="preserve"> </w:t>
            </w:r>
          </w:p>
        </w:tc>
      </w:tr>
      <w:tr w:rsidR="005E2E44" w:rsidRPr="005E2E44" w14:paraId="237B6604" w14:textId="77777777" w:rsidTr="001E22C5">
        <w:tc>
          <w:tcPr>
            <w:tcW w:w="4621" w:type="dxa"/>
          </w:tcPr>
          <w:p w14:paraId="237B6602" w14:textId="77777777" w:rsidR="005E2E44" w:rsidRPr="005E2E44" w:rsidRDefault="005E2E44" w:rsidP="005E2E44">
            <w:pPr>
              <w:spacing w:after="0"/>
              <w:rPr>
                <w:i/>
                <w:sz w:val="22"/>
              </w:rPr>
            </w:pPr>
            <w:r w:rsidRPr="005E2E44">
              <w:rPr>
                <w:i/>
                <w:sz w:val="22"/>
              </w:rPr>
              <w:t>Water</w:t>
            </w:r>
          </w:p>
        </w:tc>
        <w:tc>
          <w:tcPr>
            <w:tcW w:w="4621" w:type="dxa"/>
          </w:tcPr>
          <w:p w14:paraId="237B6603" w14:textId="77777777" w:rsidR="005E2E44" w:rsidRPr="005E2E44" w:rsidRDefault="005E2E44" w:rsidP="005E2E44">
            <w:pPr>
              <w:spacing w:after="0"/>
              <w:rPr>
                <w:i/>
                <w:sz w:val="22"/>
              </w:rPr>
            </w:pPr>
            <w:r w:rsidRPr="005E2E44">
              <w:rPr>
                <w:i/>
                <w:sz w:val="22"/>
              </w:rPr>
              <w:t>Universal indicator</w:t>
            </w:r>
          </w:p>
        </w:tc>
      </w:tr>
      <w:tr w:rsidR="005E2E44" w:rsidRPr="005E2E44" w14:paraId="237B6607" w14:textId="77777777" w:rsidTr="001E22C5">
        <w:tc>
          <w:tcPr>
            <w:tcW w:w="4621" w:type="dxa"/>
          </w:tcPr>
          <w:p w14:paraId="237B6605" w14:textId="77777777" w:rsidR="005E2E44" w:rsidRPr="005E2E44" w:rsidRDefault="005E2E44" w:rsidP="005E2E44">
            <w:pPr>
              <w:spacing w:after="0"/>
              <w:rPr>
                <w:i/>
                <w:sz w:val="22"/>
              </w:rPr>
            </w:pPr>
            <w:r w:rsidRPr="005E2E44">
              <w:rPr>
                <w:i/>
                <w:sz w:val="22"/>
              </w:rPr>
              <w:t>Saturated Na</w:t>
            </w:r>
            <w:r w:rsidRPr="005E2E44">
              <w:rPr>
                <w:i/>
                <w:sz w:val="22"/>
                <w:vertAlign w:val="subscript"/>
              </w:rPr>
              <w:t>2</w:t>
            </w:r>
            <w:r w:rsidRPr="005E2E44">
              <w:rPr>
                <w:i/>
                <w:sz w:val="22"/>
              </w:rPr>
              <w:t>CO</w:t>
            </w:r>
            <w:r w:rsidRPr="005E2E44">
              <w:rPr>
                <w:i/>
                <w:sz w:val="22"/>
                <w:vertAlign w:val="subscript"/>
              </w:rPr>
              <w:t>3</w:t>
            </w:r>
            <w:r w:rsidRPr="005E2E44">
              <w:rPr>
                <w:i/>
                <w:sz w:val="22"/>
              </w:rPr>
              <w:t xml:space="preserve"> solution (about 30 cm</w:t>
            </w:r>
            <w:r w:rsidRPr="005E2E44">
              <w:rPr>
                <w:i/>
                <w:sz w:val="22"/>
                <w:vertAlign w:val="superscript"/>
              </w:rPr>
              <w:t>3</w:t>
            </w:r>
            <w:r w:rsidRPr="005E2E44">
              <w:rPr>
                <w:i/>
                <w:sz w:val="22"/>
              </w:rPr>
              <w:t xml:space="preserve"> .</w:t>
            </w:r>
          </w:p>
        </w:tc>
        <w:tc>
          <w:tcPr>
            <w:tcW w:w="4621" w:type="dxa"/>
          </w:tcPr>
          <w:p w14:paraId="237B6606" w14:textId="77777777" w:rsidR="005E2E44" w:rsidRPr="005E2E44" w:rsidRDefault="005E2E44" w:rsidP="005E2E44">
            <w:pPr>
              <w:spacing w:after="0"/>
              <w:rPr>
                <w:i/>
                <w:sz w:val="22"/>
              </w:rPr>
            </w:pPr>
          </w:p>
        </w:tc>
      </w:tr>
    </w:tbl>
    <w:p w14:paraId="237B6608" w14:textId="77777777" w:rsidR="003E1799" w:rsidRPr="00A8515B" w:rsidRDefault="003E1799" w:rsidP="003E1799">
      <w:pPr>
        <w:rPr>
          <w:szCs w:val="24"/>
        </w:rPr>
      </w:pPr>
    </w:p>
    <w:p w14:paraId="237B6609" w14:textId="77777777" w:rsidR="003E1799" w:rsidRPr="00A8515B" w:rsidRDefault="003E1799" w:rsidP="003E1799">
      <w:pPr>
        <w:rPr>
          <w:b/>
          <w:szCs w:val="24"/>
        </w:rPr>
      </w:pPr>
      <w:r w:rsidRPr="00A8515B">
        <w:rPr>
          <w:b/>
          <w:szCs w:val="24"/>
        </w:rPr>
        <w:t>To do</w:t>
      </w:r>
    </w:p>
    <w:p w14:paraId="237B6614" w14:textId="77777777" w:rsidR="005E2E44" w:rsidRDefault="005B6CE3" w:rsidP="005E2E44">
      <w:pPr>
        <w:numPr>
          <w:ilvl w:val="0"/>
          <w:numId w:val="22"/>
        </w:numPr>
        <w:rPr>
          <w:szCs w:val="24"/>
        </w:rPr>
      </w:pPr>
      <w:r>
        <w:rPr>
          <w:szCs w:val="24"/>
        </w:rPr>
        <w:t>Half fill the measuring cylinder with 0.1 M HCl.</w:t>
      </w:r>
    </w:p>
    <w:p w14:paraId="237B6615" w14:textId="77777777" w:rsidR="005B6CE3" w:rsidRDefault="005B6CE3" w:rsidP="005E2E44">
      <w:pPr>
        <w:numPr>
          <w:ilvl w:val="0"/>
          <w:numId w:val="22"/>
        </w:numPr>
        <w:rPr>
          <w:szCs w:val="24"/>
        </w:rPr>
      </w:pPr>
      <w:r>
        <w:rPr>
          <w:szCs w:val="24"/>
        </w:rPr>
        <w:t>Add enough universal indicator to give a good colour</w:t>
      </w:r>
    </w:p>
    <w:p w14:paraId="237B6616" w14:textId="77777777" w:rsidR="005B6CE3" w:rsidRDefault="005B6CE3" w:rsidP="005E2E44">
      <w:pPr>
        <w:numPr>
          <w:ilvl w:val="0"/>
          <w:numId w:val="22"/>
        </w:numPr>
        <w:rPr>
          <w:szCs w:val="24"/>
        </w:rPr>
      </w:pPr>
      <w:r>
        <w:rPr>
          <w:szCs w:val="24"/>
        </w:rPr>
        <w:t>Top up with fresh water – this should mix the indicator. If not, stir/shake/invert to mic.</w:t>
      </w:r>
    </w:p>
    <w:p w14:paraId="237B6617" w14:textId="1028CBB7" w:rsidR="005B6CE3" w:rsidRPr="005E2E44" w:rsidRDefault="005B6CE3" w:rsidP="005E2E44">
      <w:pPr>
        <w:numPr>
          <w:ilvl w:val="0"/>
          <w:numId w:val="22"/>
        </w:numPr>
        <w:rPr>
          <w:szCs w:val="24"/>
        </w:rPr>
      </w:pPr>
      <w:r>
        <w:rPr>
          <w:szCs w:val="24"/>
        </w:rPr>
        <w:t xml:space="preserve">Tilt the measuring cylinder and gently pour the sodium carbonate solution </w:t>
      </w:r>
      <w:r w:rsidR="0004756B">
        <w:rPr>
          <w:szCs w:val="24"/>
        </w:rPr>
        <w:t>d</w:t>
      </w:r>
      <w:r>
        <w:rPr>
          <w:szCs w:val="24"/>
        </w:rPr>
        <w:t xml:space="preserve">own the side. As the sodium carbonate is </w:t>
      </w:r>
      <w:proofErr w:type="gramStart"/>
      <w:r>
        <w:rPr>
          <w:szCs w:val="24"/>
        </w:rPr>
        <w:t>more dense</w:t>
      </w:r>
      <w:proofErr w:type="gramEnd"/>
      <w:r>
        <w:rPr>
          <w:szCs w:val="24"/>
        </w:rPr>
        <w:t>, it will sink to the bottom and produce the purple/blue colour while a rainbow will appear above it.</w:t>
      </w:r>
    </w:p>
    <w:p w14:paraId="237B6618" w14:textId="77777777" w:rsidR="003E1799" w:rsidRDefault="00A57DB3" w:rsidP="003E1799">
      <w:pPr>
        <w:rPr>
          <w:b/>
          <w:sz w:val="28"/>
          <w:szCs w:val="28"/>
        </w:rPr>
      </w:pPr>
      <w:r>
        <w:rPr>
          <w:b/>
          <w:sz w:val="28"/>
          <w:szCs w:val="28"/>
        </w:rPr>
        <w:t>Comments</w:t>
      </w:r>
    </w:p>
    <w:p w14:paraId="237B6619" w14:textId="77777777" w:rsidR="001D6DA3" w:rsidRDefault="001D6DA3" w:rsidP="001D6DA3">
      <w:pPr>
        <w:rPr>
          <w:szCs w:val="24"/>
        </w:rPr>
      </w:pPr>
      <w:r w:rsidRPr="001D6DA3">
        <w:rPr>
          <w:szCs w:val="24"/>
        </w:rPr>
        <w:t>A white background is useful to show the colours.</w:t>
      </w:r>
    </w:p>
    <w:p w14:paraId="237B661A" w14:textId="77777777" w:rsidR="001D6DA3" w:rsidRDefault="001D6DA3" w:rsidP="001D6DA3">
      <w:pPr>
        <w:rPr>
          <w:szCs w:val="24"/>
        </w:rPr>
      </w:pPr>
      <w:r>
        <w:rPr>
          <w:szCs w:val="24"/>
        </w:rPr>
        <w:t>I</w:t>
      </w:r>
      <w:r w:rsidRPr="001D6DA3">
        <w:rPr>
          <w:szCs w:val="24"/>
        </w:rPr>
        <w:t>f the diameter of the tube is too wide, then mixing will occur too quickly and not all the colours will</w:t>
      </w:r>
      <w:r>
        <w:rPr>
          <w:szCs w:val="24"/>
        </w:rPr>
        <w:t xml:space="preserve"> </w:t>
      </w:r>
      <w:r w:rsidRPr="001D6DA3">
        <w:rPr>
          <w:szCs w:val="24"/>
        </w:rPr>
        <w:t>be seen</w:t>
      </w:r>
      <w:r w:rsidR="00A57DB3">
        <w:rPr>
          <w:szCs w:val="24"/>
        </w:rPr>
        <w:t xml:space="preserve"> using the first method.</w:t>
      </w:r>
    </w:p>
    <w:p w14:paraId="237B661B" w14:textId="77777777" w:rsidR="00A57DB3" w:rsidRPr="001D6DA3" w:rsidRDefault="00A57DB3" w:rsidP="001D6DA3">
      <w:pPr>
        <w:rPr>
          <w:szCs w:val="24"/>
        </w:rPr>
      </w:pPr>
      <w:r>
        <w:rPr>
          <w:szCs w:val="24"/>
        </w:rPr>
        <w:t>The second method can also usefully tie in to reinforcing the concept of liquid density.</w:t>
      </w:r>
    </w:p>
    <w:p w14:paraId="237B661C" w14:textId="77777777" w:rsidR="003E1799" w:rsidRDefault="003E1799" w:rsidP="003E1799">
      <w:pPr>
        <w:rPr>
          <w:b/>
          <w:sz w:val="28"/>
          <w:szCs w:val="28"/>
        </w:rPr>
      </w:pPr>
      <w:r>
        <w:rPr>
          <w:b/>
          <w:sz w:val="28"/>
          <w:szCs w:val="28"/>
        </w:rPr>
        <w:t>What is happening?</w:t>
      </w:r>
    </w:p>
    <w:p w14:paraId="237B661D" w14:textId="77777777" w:rsidR="003E1799" w:rsidRPr="00BC15C4" w:rsidRDefault="003E1799" w:rsidP="003E1799">
      <w:pPr>
        <w:rPr>
          <w:szCs w:val="24"/>
        </w:rPr>
      </w:pPr>
      <w:r w:rsidRPr="00BC15C4">
        <w:rPr>
          <w:szCs w:val="24"/>
        </w:rPr>
        <w:t>The neutralisation reaction between the acid and the alkali is:</w:t>
      </w:r>
    </w:p>
    <w:p w14:paraId="237B661E" w14:textId="77777777" w:rsidR="003E1799" w:rsidRPr="00BC15C4" w:rsidRDefault="003E1799" w:rsidP="003E1799">
      <w:pPr>
        <w:ind w:firstLine="720"/>
        <w:rPr>
          <w:sz w:val="32"/>
          <w:szCs w:val="32"/>
        </w:rPr>
      </w:pPr>
      <w:r w:rsidRPr="00BC15C4">
        <w:rPr>
          <w:sz w:val="32"/>
          <w:szCs w:val="32"/>
        </w:rPr>
        <w:t xml:space="preserve">acid + alkali </w:t>
      </w:r>
      <w:r w:rsidRPr="00BC15C4">
        <w:rPr>
          <w:rFonts w:hint="eastAsia"/>
          <w:sz w:val="32"/>
          <w:szCs w:val="32"/>
        </w:rPr>
        <w:t>→</w:t>
      </w:r>
      <w:r w:rsidRPr="00BC15C4">
        <w:rPr>
          <w:sz w:val="32"/>
          <w:szCs w:val="32"/>
        </w:rPr>
        <w:t xml:space="preserve"> salt + water</w:t>
      </w:r>
    </w:p>
    <w:p w14:paraId="237B661F" w14:textId="23F4B133" w:rsidR="003E1799" w:rsidRDefault="003E1799" w:rsidP="003E1799">
      <w:pPr>
        <w:rPr>
          <w:szCs w:val="24"/>
        </w:rPr>
      </w:pPr>
      <w:r w:rsidRPr="00BC15C4">
        <w:rPr>
          <w:szCs w:val="24"/>
        </w:rPr>
        <w:t xml:space="preserve">hydrochloric acid + sodium hydroxide </w:t>
      </w:r>
      <w:r w:rsidRPr="00BC15C4">
        <w:rPr>
          <w:rFonts w:hint="eastAsia"/>
          <w:szCs w:val="24"/>
        </w:rPr>
        <w:t>→</w:t>
      </w:r>
      <w:r w:rsidRPr="00BC15C4">
        <w:rPr>
          <w:szCs w:val="24"/>
        </w:rPr>
        <w:t xml:space="preserve"> sodium chloride + water</w:t>
      </w:r>
    </w:p>
    <w:p w14:paraId="7D3EC3F2" w14:textId="32E5900C" w:rsidR="00E2264A" w:rsidRPr="00BC15C4" w:rsidRDefault="00E2264A" w:rsidP="003E1799">
      <w:pPr>
        <w:rPr>
          <w:szCs w:val="24"/>
        </w:rPr>
      </w:pPr>
      <w:r>
        <w:rPr>
          <w:szCs w:val="24"/>
        </w:rPr>
        <w:t>in this case, as we have a carbonate, CO</w:t>
      </w:r>
      <w:r w:rsidRPr="00E2264A">
        <w:rPr>
          <w:szCs w:val="24"/>
          <w:vertAlign w:val="subscript"/>
        </w:rPr>
        <w:t>2</w:t>
      </w:r>
      <w:r>
        <w:rPr>
          <w:szCs w:val="24"/>
        </w:rPr>
        <w:t xml:space="preserve"> is produced as well.</w:t>
      </w:r>
    </w:p>
    <w:p w14:paraId="237B6620" w14:textId="3B61AC90" w:rsidR="003E1799" w:rsidRPr="00BC15C4" w:rsidRDefault="003E1799" w:rsidP="003E1799">
      <w:pPr>
        <w:ind w:firstLine="720"/>
        <w:rPr>
          <w:sz w:val="32"/>
          <w:szCs w:val="32"/>
        </w:rPr>
      </w:pPr>
      <w:r w:rsidRPr="00BC15C4">
        <w:rPr>
          <w:sz w:val="32"/>
          <w:szCs w:val="32"/>
        </w:rPr>
        <w:lastRenderedPageBreak/>
        <w:t>HCl</w:t>
      </w:r>
      <w:r w:rsidRPr="00BC15C4">
        <w:rPr>
          <w:sz w:val="32"/>
          <w:szCs w:val="32"/>
          <w:vertAlign w:val="subscript"/>
        </w:rPr>
        <w:t>(</w:t>
      </w:r>
      <w:proofErr w:type="spellStart"/>
      <w:r w:rsidRPr="00BC15C4">
        <w:rPr>
          <w:sz w:val="32"/>
          <w:szCs w:val="32"/>
          <w:vertAlign w:val="subscript"/>
        </w:rPr>
        <w:t>aq</w:t>
      </w:r>
      <w:proofErr w:type="spellEnd"/>
      <w:r w:rsidRPr="00BC15C4">
        <w:rPr>
          <w:sz w:val="32"/>
          <w:szCs w:val="32"/>
          <w:vertAlign w:val="subscript"/>
        </w:rPr>
        <w:t>)</w:t>
      </w:r>
      <w:r w:rsidRPr="00BC15C4">
        <w:rPr>
          <w:sz w:val="32"/>
          <w:szCs w:val="32"/>
        </w:rPr>
        <w:t xml:space="preserve"> + Na</w:t>
      </w:r>
      <w:r w:rsidR="00600C87" w:rsidRPr="00600C87">
        <w:rPr>
          <w:sz w:val="32"/>
          <w:szCs w:val="32"/>
          <w:vertAlign w:val="subscript"/>
        </w:rPr>
        <w:t>2</w:t>
      </w:r>
      <w:r w:rsidR="00600C87">
        <w:rPr>
          <w:sz w:val="32"/>
          <w:szCs w:val="32"/>
        </w:rPr>
        <w:t>CO</w:t>
      </w:r>
      <w:r w:rsidR="00600C87" w:rsidRPr="00600C87">
        <w:rPr>
          <w:sz w:val="32"/>
          <w:szCs w:val="32"/>
          <w:vertAlign w:val="subscript"/>
        </w:rPr>
        <w:t>3</w:t>
      </w:r>
      <w:r w:rsidRPr="00BC15C4">
        <w:rPr>
          <w:sz w:val="32"/>
          <w:szCs w:val="32"/>
          <w:vertAlign w:val="subscript"/>
        </w:rPr>
        <w:t>(</w:t>
      </w:r>
      <w:proofErr w:type="spellStart"/>
      <w:r w:rsidRPr="00BC15C4">
        <w:rPr>
          <w:sz w:val="32"/>
          <w:szCs w:val="32"/>
          <w:vertAlign w:val="subscript"/>
        </w:rPr>
        <w:t>aq</w:t>
      </w:r>
      <w:proofErr w:type="spellEnd"/>
      <w:r w:rsidRPr="00BC15C4">
        <w:rPr>
          <w:sz w:val="32"/>
          <w:szCs w:val="32"/>
          <w:vertAlign w:val="subscript"/>
        </w:rPr>
        <w:t>)</w:t>
      </w:r>
      <w:r w:rsidRPr="00BC15C4">
        <w:rPr>
          <w:sz w:val="32"/>
          <w:szCs w:val="32"/>
        </w:rPr>
        <w:t xml:space="preserve"> </w:t>
      </w:r>
      <w:r w:rsidRPr="00BC15C4">
        <w:rPr>
          <w:rFonts w:hint="eastAsia"/>
          <w:sz w:val="32"/>
          <w:szCs w:val="32"/>
        </w:rPr>
        <w:t>→</w:t>
      </w:r>
      <w:r w:rsidRPr="00BC15C4">
        <w:rPr>
          <w:sz w:val="32"/>
          <w:szCs w:val="32"/>
        </w:rPr>
        <w:t xml:space="preserve"> NaCl</w:t>
      </w:r>
      <w:r w:rsidRPr="00BC15C4">
        <w:rPr>
          <w:sz w:val="32"/>
          <w:szCs w:val="32"/>
          <w:vertAlign w:val="subscript"/>
        </w:rPr>
        <w:t>(</w:t>
      </w:r>
      <w:proofErr w:type="spellStart"/>
      <w:r w:rsidRPr="00BC15C4">
        <w:rPr>
          <w:sz w:val="32"/>
          <w:szCs w:val="32"/>
          <w:vertAlign w:val="subscript"/>
        </w:rPr>
        <w:t>aq</w:t>
      </w:r>
      <w:proofErr w:type="spellEnd"/>
      <w:r w:rsidRPr="00BC15C4">
        <w:rPr>
          <w:sz w:val="32"/>
          <w:szCs w:val="32"/>
          <w:vertAlign w:val="subscript"/>
        </w:rPr>
        <w:t>)</w:t>
      </w:r>
      <w:r w:rsidRPr="00BC15C4">
        <w:rPr>
          <w:sz w:val="32"/>
          <w:szCs w:val="32"/>
        </w:rPr>
        <w:t xml:space="preserve"> + </w:t>
      </w:r>
      <w:r w:rsidR="00600C87">
        <w:rPr>
          <w:sz w:val="32"/>
          <w:szCs w:val="32"/>
        </w:rPr>
        <w:t>CO</w:t>
      </w:r>
      <w:r w:rsidR="00600C87" w:rsidRPr="00600C87">
        <w:rPr>
          <w:sz w:val="32"/>
          <w:szCs w:val="32"/>
          <w:vertAlign w:val="subscript"/>
        </w:rPr>
        <w:t>2</w:t>
      </w:r>
      <w:r w:rsidR="00600C87">
        <w:rPr>
          <w:sz w:val="32"/>
          <w:szCs w:val="32"/>
        </w:rPr>
        <w:t xml:space="preserve">  + </w:t>
      </w:r>
      <w:r w:rsidRPr="00BC15C4">
        <w:rPr>
          <w:sz w:val="32"/>
          <w:szCs w:val="32"/>
        </w:rPr>
        <w:t>H</w:t>
      </w:r>
      <w:r w:rsidRPr="00BC15C4">
        <w:rPr>
          <w:sz w:val="32"/>
          <w:szCs w:val="32"/>
          <w:vertAlign w:val="subscript"/>
        </w:rPr>
        <w:t>2</w:t>
      </w:r>
      <w:r w:rsidRPr="00BC15C4">
        <w:rPr>
          <w:sz w:val="32"/>
          <w:szCs w:val="32"/>
        </w:rPr>
        <w:t>O</w:t>
      </w:r>
      <w:r w:rsidRPr="00BC15C4">
        <w:rPr>
          <w:sz w:val="32"/>
          <w:szCs w:val="32"/>
          <w:vertAlign w:val="subscript"/>
        </w:rPr>
        <w:t>(l)</w:t>
      </w:r>
    </w:p>
    <w:p w14:paraId="237B6621" w14:textId="7886F01C" w:rsidR="003E1799" w:rsidRPr="00BC15C4" w:rsidRDefault="00CB476E" w:rsidP="003E1799">
      <w:pPr>
        <w:rPr>
          <w:szCs w:val="24"/>
        </w:rPr>
      </w:pPr>
      <w:r>
        <w:rPr>
          <w:szCs w:val="24"/>
        </w:rPr>
        <w:t xml:space="preserve">As the acid is very dilute, only a small amount of carbon dioxide is </w:t>
      </w:r>
      <w:proofErr w:type="gramStart"/>
      <w:r>
        <w:rPr>
          <w:szCs w:val="24"/>
        </w:rPr>
        <w:t>produced</w:t>
      </w:r>
      <w:proofErr w:type="gramEnd"/>
      <w:r>
        <w:rPr>
          <w:szCs w:val="24"/>
        </w:rPr>
        <w:t xml:space="preserve"> and this simply dissolves in the water</w:t>
      </w:r>
      <w:r w:rsidR="00D60095">
        <w:rPr>
          <w:szCs w:val="24"/>
        </w:rPr>
        <w:t xml:space="preserve">. A more concentrated acid will result in effervescence that will disturb the pH gradient. </w:t>
      </w:r>
      <w:r w:rsidR="003E1799" w:rsidRPr="00BC15C4">
        <w:rPr>
          <w:szCs w:val="24"/>
        </w:rPr>
        <w:t>All the other ions remain in solution as spectator ions.</w:t>
      </w:r>
    </w:p>
    <w:p w14:paraId="237B6622" w14:textId="6BB65DBA" w:rsidR="003E1799" w:rsidRPr="00BC15C4" w:rsidRDefault="003E1799" w:rsidP="003E1799">
      <w:pPr>
        <w:rPr>
          <w:szCs w:val="24"/>
        </w:rPr>
      </w:pPr>
      <w:r w:rsidRPr="00BC15C4">
        <w:rPr>
          <w:szCs w:val="24"/>
        </w:rPr>
        <w:t>The simplest neutralisation reaction may</w:t>
      </w:r>
      <w:r w:rsidR="00D60095">
        <w:rPr>
          <w:szCs w:val="24"/>
        </w:rPr>
        <w:t xml:space="preserve"> </w:t>
      </w:r>
      <w:r w:rsidRPr="00BC15C4">
        <w:rPr>
          <w:szCs w:val="24"/>
        </w:rPr>
        <w:t>be written as:</w:t>
      </w:r>
    </w:p>
    <w:p w14:paraId="237B6623" w14:textId="77777777" w:rsidR="003E1799" w:rsidRPr="00BC15C4" w:rsidRDefault="003E1799" w:rsidP="003E1799">
      <w:pPr>
        <w:ind w:firstLine="720"/>
        <w:rPr>
          <w:sz w:val="32"/>
          <w:szCs w:val="32"/>
        </w:rPr>
      </w:pPr>
      <w:r w:rsidRPr="00BC15C4">
        <w:rPr>
          <w:sz w:val="32"/>
          <w:szCs w:val="32"/>
        </w:rPr>
        <w:t>H</w:t>
      </w:r>
      <w:r w:rsidRPr="00BC15C4">
        <w:rPr>
          <w:sz w:val="32"/>
          <w:szCs w:val="32"/>
          <w:vertAlign w:val="superscript"/>
        </w:rPr>
        <w:t>+</w:t>
      </w:r>
      <w:r>
        <w:rPr>
          <w:sz w:val="32"/>
          <w:szCs w:val="32"/>
          <w:vertAlign w:val="superscript"/>
        </w:rPr>
        <w:t xml:space="preserve"> </w:t>
      </w:r>
      <w:r w:rsidRPr="00BC15C4">
        <w:rPr>
          <w:sz w:val="32"/>
          <w:szCs w:val="32"/>
          <w:vertAlign w:val="subscript"/>
        </w:rPr>
        <w:t>(</w:t>
      </w:r>
      <w:proofErr w:type="spellStart"/>
      <w:r w:rsidRPr="00BC15C4">
        <w:rPr>
          <w:sz w:val="32"/>
          <w:szCs w:val="32"/>
          <w:vertAlign w:val="subscript"/>
        </w:rPr>
        <w:t>aq</w:t>
      </w:r>
      <w:proofErr w:type="spellEnd"/>
      <w:r w:rsidRPr="00BC15C4">
        <w:rPr>
          <w:sz w:val="32"/>
          <w:szCs w:val="32"/>
          <w:vertAlign w:val="subscript"/>
        </w:rPr>
        <w:t>)</w:t>
      </w:r>
      <w:r w:rsidRPr="00BC15C4">
        <w:rPr>
          <w:sz w:val="32"/>
          <w:szCs w:val="32"/>
        </w:rPr>
        <w:t xml:space="preserve"> + OH</w:t>
      </w:r>
      <w:r w:rsidRPr="00BC15C4">
        <w:rPr>
          <w:sz w:val="40"/>
          <w:szCs w:val="40"/>
          <w:vertAlign w:val="superscript"/>
        </w:rPr>
        <w:t>-</w:t>
      </w:r>
      <w:r>
        <w:rPr>
          <w:sz w:val="32"/>
          <w:szCs w:val="32"/>
        </w:rPr>
        <w:t xml:space="preserve"> </w:t>
      </w:r>
      <w:r w:rsidRPr="00BC15C4">
        <w:rPr>
          <w:sz w:val="32"/>
          <w:szCs w:val="32"/>
          <w:vertAlign w:val="subscript"/>
        </w:rPr>
        <w:t>(</w:t>
      </w:r>
      <w:proofErr w:type="spellStart"/>
      <w:r w:rsidRPr="00BC15C4">
        <w:rPr>
          <w:sz w:val="32"/>
          <w:szCs w:val="32"/>
          <w:vertAlign w:val="subscript"/>
        </w:rPr>
        <w:t>aq</w:t>
      </w:r>
      <w:proofErr w:type="spellEnd"/>
      <w:r w:rsidRPr="00BC15C4">
        <w:rPr>
          <w:sz w:val="32"/>
          <w:szCs w:val="32"/>
          <w:vertAlign w:val="subscript"/>
        </w:rPr>
        <w:t>)</w:t>
      </w:r>
      <w:r w:rsidRPr="00BC15C4">
        <w:rPr>
          <w:sz w:val="32"/>
          <w:szCs w:val="32"/>
        </w:rPr>
        <w:t xml:space="preserve"> </w:t>
      </w:r>
      <w:r w:rsidRPr="00BC15C4">
        <w:rPr>
          <w:rFonts w:hint="eastAsia"/>
          <w:sz w:val="32"/>
          <w:szCs w:val="32"/>
        </w:rPr>
        <w:t>→</w:t>
      </w:r>
      <w:r w:rsidRPr="00BC15C4">
        <w:rPr>
          <w:sz w:val="32"/>
          <w:szCs w:val="32"/>
        </w:rPr>
        <w:t xml:space="preserve"> H</w:t>
      </w:r>
      <w:r w:rsidRPr="00BC15C4">
        <w:rPr>
          <w:sz w:val="32"/>
          <w:szCs w:val="32"/>
          <w:vertAlign w:val="subscript"/>
        </w:rPr>
        <w:t>2</w:t>
      </w:r>
      <w:r w:rsidRPr="00BC15C4">
        <w:rPr>
          <w:sz w:val="32"/>
          <w:szCs w:val="32"/>
        </w:rPr>
        <w:t>O</w:t>
      </w:r>
      <w:r w:rsidRPr="00BC15C4">
        <w:rPr>
          <w:sz w:val="32"/>
          <w:szCs w:val="32"/>
          <w:vertAlign w:val="subscript"/>
        </w:rPr>
        <w:t>(l)</w:t>
      </w:r>
    </w:p>
    <w:p w14:paraId="237B6624" w14:textId="77777777" w:rsidR="003E1799" w:rsidRPr="00BC15C4" w:rsidRDefault="003E1799" w:rsidP="003E1799">
      <w:pPr>
        <w:rPr>
          <w:szCs w:val="24"/>
        </w:rPr>
      </w:pPr>
      <w:r w:rsidRPr="00BC15C4">
        <w:rPr>
          <w:szCs w:val="24"/>
        </w:rPr>
        <w:t>pH is a measure of the concentration of hydrogen ions. It is calculated using the formula</w:t>
      </w:r>
    </w:p>
    <w:p w14:paraId="237B6625" w14:textId="77777777" w:rsidR="003E1799" w:rsidRPr="00BC15C4" w:rsidRDefault="003E1799" w:rsidP="003E1799">
      <w:pPr>
        <w:ind w:firstLine="720"/>
        <w:rPr>
          <w:sz w:val="32"/>
          <w:szCs w:val="32"/>
        </w:rPr>
      </w:pPr>
      <w:r w:rsidRPr="00BC15C4">
        <w:rPr>
          <w:sz w:val="32"/>
          <w:szCs w:val="32"/>
        </w:rPr>
        <w:t>pH = -log10[H</w:t>
      </w:r>
      <w:r w:rsidRPr="00345885">
        <w:rPr>
          <w:sz w:val="32"/>
          <w:szCs w:val="32"/>
          <w:vertAlign w:val="superscript"/>
        </w:rPr>
        <w:t>+</w:t>
      </w:r>
      <w:r w:rsidRPr="00BC15C4">
        <w:rPr>
          <w:sz w:val="32"/>
          <w:szCs w:val="32"/>
        </w:rPr>
        <w:t>]</w:t>
      </w:r>
    </w:p>
    <w:p w14:paraId="237B6626" w14:textId="77777777" w:rsidR="003E1799" w:rsidRDefault="003E1799" w:rsidP="003E1799">
      <w:pPr>
        <w:rPr>
          <w:b/>
          <w:sz w:val="28"/>
          <w:szCs w:val="28"/>
        </w:rPr>
      </w:pPr>
    </w:p>
    <w:p w14:paraId="237B6627" w14:textId="77777777" w:rsidR="003E1799" w:rsidRPr="00A8515B" w:rsidRDefault="003E1799" w:rsidP="003E1799">
      <w:pPr>
        <w:rPr>
          <w:b/>
          <w:sz w:val="28"/>
          <w:szCs w:val="28"/>
        </w:rPr>
      </w:pPr>
      <w:r w:rsidRPr="00A8515B">
        <w:rPr>
          <w:b/>
          <w:sz w:val="28"/>
          <w:szCs w:val="28"/>
        </w:rPr>
        <w:t>Safety</w:t>
      </w:r>
    </w:p>
    <w:p w14:paraId="237B6628" w14:textId="7C713451" w:rsidR="003E1799" w:rsidRPr="00A8515B" w:rsidRDefault="003E1799" w:rsidP="003E1799">
      <w:pPr>
        <w:rPr>
          <w:szCs w:val="24"/>
        </w:rPr>
      </w:pPr>
      <w:r>
        <w:rPr>
          <w:szCs w:val="24"/>
        </w:rPr>
        <w:t xml:space="preserve">The </w:t>
      </w:r>
      <w:r w:rsidR="00D60095">
        <w:rPr>
          <w:szCs w:val="24"/>
        </w:rPr>
        <w:t xml:space="preserve">sodium carbonate </w:t>
      </w:r>
      <w:r>
        <w:rPr>
          <w:szCs w:val="24"/>
        </w:rPr>
        <w:t>solution is irritant</w:t>
      </w:r>
      <w:r w:rsidR="00A57DB3">
        <w:rPr>
          <w:szCs w:val="24"/>
        </w:rPr>
        <w:t>. I</w:t>
      </w:r>
      <w:r>
        <w:rPr>
          <w:szCs w:val="24"/>
        </w:rPr>
        <w:t>t is advisable to wear eye protection.</w:t>
      </w:r>
    </w:p>
    <w:p w14:paraId="237B6629" w14:textId="77777777" w:rsidR="003E1799" w:rsidRPr="00A8515B" w:rsidRDefault="003E1799" w:rsidP="003E1799">
      <w:pPr>
        <w:rPr>
          <w:szCs w:val="24"/>
        </w:rPr>
      </w:pPr>
    </w:p>
    <w:p w14:paraId="237B662A" w14:textId="77777777" w:rsidR="003E1799" w:rsidRPr="00A8515B" w:rsidRDefault="003E1799" w:rsidP="003E1799">
      <w:pPr>
        <w:rPr>
          <w:b/>
          <w:color w:val="FF0000"/>
          <w:sz w:val="28"/>
          <w:szCs w:val="28"/>
        </w:rPr>
      </w:pPr>
      <w:r w:rsidRPr="00A8515B">
        <w:rPr>
          <w:b/>
          <w:color w:val="FF0000"/>
          <w:sz w:val="28"/>
          <w:szCs w:val="28"/>
        </w:rPr>
        <w:t>It is the responsibility of teachers doing this demonstration to carry out an appropriate risk assessment.</w:t>
      </w:r>
    </w:p>
    <w:p w14:paraId="237B662B" w14:textId="77777777" w:rsidR="00417B64" w:rsidRPr="00417B64" w:rsidRDefault="00417B64" w:rsidP="003E1799">
      <w:pPr>
        <w:pStyle w:val="Heading2"/>
        <w:rPr>
          <w:sz w:val="28"/>
          <w:szCs w:val="28"/>
          <w:lang w:val="en-US"/>
        </w:rPr>
      </w:pPr>
    </w:p>
    <w:sectPr w:rsidR="00417B64" w:rsidRPr="00417B64" w:rsidSect="003002AB">
      <w:pgSz w:w="11906" w:h="16838"/>
      <w:pgMar w:top="1440" w:right="1440" w:bottom="1560" w:left="1440" w:header="708" w:footer="708" w:gutter="0"/>
      <w:pgBorders w:offsetFrom="page">
        <w:top w:val="thinThickSmallGap" w:sz="24" w:space="24" w:color="00B050"/>
        <w:left w:val="thinThickSmallGap" w:sz="24" w:space="24" w:color="00B050"/>
        <w:bottom w:val="thickThinSmallGap" w:sz="24" w:space="24" w:color="00B050"/>
        <w:right w:val="thickThinSmallGap" w:sz="24" w:space="24" w:color="00B050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7B6636" w14:textId="77777777" w:rsidR="005B6CE3" w:rsidRDefault="005B6CE3" w:rsidP="00F31C32">
      <w:pPr>
        <w:spacing w:after="0" w:line="240" w:lineRule="auto"/>
      </w:pPr>
      <w:r>
        <w:separator/>
      </w:r>
    </w:p>
  </w:endnote>
  <w:endnote w:type="continuationSeparator" w:id="0">
    <w:p w14:paraId="237B6637" w14:textId="77777777" w:rsidR="005B6CE3" w:rsidRDefault="005B6CE3" w:rsidP="00F31C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7B6634" w14:textId="77777777" w:rsidR="005B6CE3" w:rsidRDefault="005B6CE3" w:rsidP="00F31C32">
      <w:pPr>
        <w:spacing w:after="0" w:line="240" w:lineRule="auto"/>
      </w:pPr>
      <w:r>
        <w:separator/>
      </w:r>
    </w:p>
  </w:footnote>
  <w:footnote w:type="continuationSeparator" w:id="0">
    <w:p w14:paraId="237B6635" w14:textId="77777777" w:rsidR="005B6CE3" w:rsidRDefault="005B6CE3" w:rsidP="00F31C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BD188A"/>
    <w:multiLevelType w:val="hybridMultilevel"/>
    <w:tmpl w:val="204098C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55264D"/>
    <w:multiLevelType w:val="hybridMultilevel"/>
    <w:tmpl w:val="26F85C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CC0418"/>
    <w:multiLevelType w:val="hybridMultilevel"/>
    <w:tmpl w:val="8488D0DC"/>
    <w:lvl w:ilvl="0" w:tplc="26C6C41C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59E0A67"/>
    <w:multiLevelType w:val="hybridMultilevel"/>
    <w:tmpl w:val="A6CA289C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6ED35AB"/>
    <w:multiLevelType w:val="hybridMultilevel"/>
    <w:tmpl w:val="3E40A72C"/>
    <w:lvl w:ilvl="0" w:tplc="C6CE49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BAC4101"/>
    <w:multiLevelType w:val="hybridMultilevel"/>
    <w:tmpl w:val="F3105D6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B8B40E8"/>
    <w:multiLevelType w:val="hybridMultilevel"/>
    <w:tmpl w:val="7438EE80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9F7CE54C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13A4492"/>
    <w:multiLevelType w:val="hybridMultilevel"/>
    <w:tmpl w:val="5510AA62"/>
    <w:lvl w:ilvl="0" w:tplc="BBC62DD4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0B6B21"/>
    <w:multiLevelType w:val="hybridMultilevel"/>
    <w:tmpl w:val="1D1039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824C90"/>
    <w:multiLevelType w:val="hybridMultilevel"/>
    <w:tmpl w:val="06A2E196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5226C5"/>
    <w:multiLevelType w:val="hybridMultilevel"/>
    <w:tmpl w:val="DE58693A"/>
    <w:lvl w:ilvl="0" w:tplc="868C24C8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BBC62DD4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E94E2B"/>
    <w:multiLevelType w:val="hybridMultilevel"/>
    <w:tmpl w:val="0188F6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2B4B68"/>
    <w:multiLevelType w:val="hybridMultilevel"/>
    <w:tmpl w:val="206ACA5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5F7C7E"/>
    <w:multiLevelType w:val="hybridMultilevel"/>
    <w:tmpl w:val="8B943E76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6243EA"/>
    <w:multiLevelType w:val="hybridMultilevel"/>
    <w:tmpl w:val="33C446D8"/>
    <w:lvl w:ilvl="0" w:tplc="26C6C41C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473042D"/>
    <w:multiLevelType w:val="hybridMultilevel"/>
    <w:tmpl w:val="CC92B62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6A483D"/>
    <w:multiLevelType w:val="hybridMultilevel"/>
    <w:tmpl w:val="0B68FA3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BC7F7F"/>
    <w:multiLevelType w:val="hybridMultilevel"/>
    <w:tmpl w:val="175EB80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CA4E0D"/>
    <w:multiLevelType w:val="hybridMultilevel"/>
    <w:tmpl w:val="0C88247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D56641"/>
    <w:multiLevelType w:val="hybridMultilevel"/>
    <w:tmpl w:val="0D0E2ACE"/>
    <w:lvl w:ilvl="0" w:tplc="B43E2DC2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3613380"/>
    <w:multiLevelType w:val="hybridMultilevel"/>
    <w:tmpl w:val="05468CFE"/>
    <w:lvl w:ilvl="0" w:tplc="742AF72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9F7CE54C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7E844FA"/>
    <w:multiLevelType w:val="hybridMultilevel"/>
    <w:tmpl w:val="0128CD8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"/>
  </w:num>
  <w:num w:numId="3">
    <w:abstractNumId w:val="14"/>
  </w:num>
  <w:num w:numId="4">
    <w:abstractNumId w:val="15"/>
  </w:num>
  <w:num w:numId="5">
    <w:abstractNumId w:val="17"/>
  </w:num>
  <w:num w:numId="6">
    <w:abstractNumId w:val="1"/>
  </w:num>
  <w:num w:numId="7">
    <w:abstractNumId w:val="12"/>
  </w:num>
  <w:num w:numId="8">
    <w:abstractNumId w:val="18"/>
  </w:num>
  <w:num w:numId="9">
    <w:abstractNumId w:val="16"/>
  </w:num>
  <w:num w:numId="10">
    <w:abstractNumId w:val="13"/>
  </w:num>
  <w:num w:numId="11">
    <w:abstractNumId w:val="20"/>
  </w:num>
  <w:num w:numId="12">
    <w:abstractNumId w:val="21"/>
  </w:num>
  <w:num w:numId="13">
    <w:abstractNumId w:val="9"/>
  </w:num>
  <w:num w:numId="14">
    <w:abstractNumId w:val="11"/>
  </w:num>
  <w:num w:numId="15">
    <w:abstractNumId w:val="6"/>
  </w:num>
  <w:num w:numId="16">
    <w:abstractNumId w:val="5"/>
  </w:num>
  <w:num w:numId="17">
    <w:abstractNumId w:val="3"/>
  </w:num>
  <w:num w:numId="18">
    <w:abstractNumId w:val="8"/>
  </w:num>
  <w:num w:numId="19">
    <w:abstractNumId w:val="7"/>
  </w:num>
  <w:num w:numId="20">
    <w:abstractNumId w:val="4"/>
  </w:num>
  <w:num w:numId="21">
    <w:abstractNumId w:val="19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22AD8"/>
    <w:rsid w:val="000014D0"/>
    <w:rsid w:val="00022AD8"/>
    <w:rsid w:val="000373C0"/>
    <w:rsid w:val="0004756B"/>
    <w:rsid w:val="000721FE"/>
    <w:rsid w:val="000845CD"/>
    <w:rsid w:val="000B024D"/>
    <w:rsid w:val="000C5AF8"/>
    <w:rsid w:val="00151E73"/>
    <w:rsid w:val="001879BD"/>
    <w:rsid w:val="001A10AD"/>
    <w:rsid w:val="001D6DA3"/>
    <w:rsid w:val="001E22C5"/>
    <w:rsid w:val="001E630F"/>
    <w:rsid w:val="00206A3A"/>
    <w:rsid w:val="003002AB"/>
    <w:rsid w:val="00361797"/>
    <w:rsid w:val="0038293D"/>
    <w:rsid w:val="003A4555"/>
    <w:rsid w:val="003E1799"/>
    <w:rsid w:val="00417290"/>
    <w:rsid w:val="00417B64"/>
    <w:rsid w:val="00427F5A"/>
    <w:rsid w:val="00433370"/>
    <w:rsid w:val="00435F20"/>
    <w:rsid w:val="00456636"/>
    <w:rsid w:val="00456886"/>
    <w:rsid w:val="004813B6"/>
    <w:rsid w:val="004F3024"/>
    <w:rsid w:val="004F559B"/>
    <w:rsid w:val="0050026B"/>
    <w:rsid w:val="005804A2"/>
    <w:rsid w:val="00593671"/>
    <w:rsid w:val="005B6CE3"/>
    <w:rsid w:val="005E2E44"/>
    <w:rsid w:val="00600C87"/>
    <w:rsid w:val="0063669E"/>
    <w:rsid w:val="0065548A"/>
    <w:rsid w:val="00665596"/>
    <w:rsid w:val="006A39A3"/>
    <w:rsid w:val="006A3F1B"/>
    <w:rsid w:val="006B46C2"/>
    <w:rsid w:val="006C5730"/>
    <w:rsid w:val="006D2084"/>
    <w:rsid w:val="006F236A"/>
    <w:rsid w:val="00737A4F"/>
    <w:rsid w:val="007431BE"/>
    <w:rsid w:val="00743A25"/>
    <w:rsid w:val="0076042C"/>
    <w:rsid w:val="00786A3D"/>
    <w:rsid w:val="007E0282"/>
    <w:rsid w:val="00801BE1"/>
    <w:rsid w:val="0081126D"/>
    <w:rsid w:val="008273C1"/>
    <w:rsid w:val="008B34F5"/>
    <w:rsid w:val="008B76CF"/>
    <w:rsid w:val="008C5ED8"/>
    <w:rsid w:val="008D6054"/>
    <w:rsid w:val="0095522C"/>
    <w:rsid w:val="00965E04"/>
    <w:rsid w:val="009758D3"/>
    <w:rsid w:val="00986628"/>
    <w:rsid w:val="00994C68"/>
    <w:rsid w:val="00A478B4"/>
    <w:rsid w:val="00A57DB3"/>
    <w:rsid w:val="00A92762"/>
    <w:rsid w:val="00AE0DDA"/>
    <w:rsid w:val="00B300C6"/>
    <w:rsid w:val="00B721BA"/>
    <w:rsid w:val="00B80585"/>
    <w:rsid w:val="00B9685B"/>
    <w:rsid w:val="00BB46F2"/>
    <w:rsid w:val="00BC2D98"/>
    <w:rsid w:val="00C31330"/>
    <w:rsid w:val="00C36384"/>
    <w:rsid w:val="00C7551A"/>
    <w:rsid w:val="00CB476E"/>
    <w:rsid w:val="00CC1E26"/>
    <w:rsid w:val="00CE5A87"/>
    <w:rsid w:val="00D06239"/>
    <w:rsid w:val="00D06E88"/>
    <w:rsid w:val="00D60095"/>
    <w:rsid w:val="00DA02AC"/>
    <w:rsid w:val="00DA5429"/>
    <w:rsid w:val="00DD54D2"/>
    <w:rsid w:val="00DF1C36"/>
    <w:rsid w:val="00DF5C9E"/>
    <w:rsid w:val="00E1063D"/>
    <w:rsid w:val="00E2264A"/>
    <w:rsid w:val="00E44C13"/>
    <w:rsid w:val="00E734D0"/>
    <w:rsid w:val="00E9712E"/>
    <w:rsid w:val="00ED0820"/>
    <w:rsid w:val="00ED6234"/>
    <w:rsid w:val="00EE7892"/>
    <w:rsid w:val="00F31C32"/>
    <w:rsid w:val="00F46A32"/>
    <w:rsid w:val="00F83D00"/>
    <w:rsid w:val="00F87425"/>
    <w:rsid w:val="00FB7BF7"/>
    <w:rsid w:val="00FC7883"/>
    <w:rsid w:val="00FE4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/>
    <o:shapelayout v:ext="edit">
      <o:idmap v:ext="edit" data="1"/>
    </o:shapelayout>
  </w:shapeDefaults>
  <w:decimalSymbol w:val="."/>
  <w:listSeparator w:val=","/>
  <w14:docId w14:val="237B65E2"/>
  <w15:docId w15:val="{961D360C-FAA1-4407-9BBA-035009EB5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3370"/>
    <w:pPr>
      <w:spacing w:after="200" w:line="276" w:lineRule="auto"/>
    </w:pPr>
    <w:rPr>
      <w:rFonts w:ascii="Times New Roman" w:hAnsi="Times New Roman"/>
      <w:sz w:val="24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33370"/>
    <w:pPr>
      <w:keepNext/>
      <w:keepLines/>
      <w:spacing w:before="480" w:after="0"/>
      <w:outlineLvl w:val="0"/>
    </w:pPr>
    <w:rPr>
      <w:rFonts w:eastAsia="Times New Roman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33370"/>
    <w:pPr>
      <w:keepNext/>
      <w:keepLines/>
      <w:spacing w:before="200" w:after="0"/>
      <w:outlineLvl w:val="1"/>
    </w:pPr>
    <w:rPr>
      <w:rFonts w:eastAsia="Times New Roman"/>
      <w:b/>
      <w:bCs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33370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33370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NoSpacing">
    <w:name w:val="No Spacing"/>
    <w:link w:val="NoSpacingChar"/>
    <w:uiPriority w:val="1"/>
    <w:qFormat/>
    <w:rsid w:val="00433370"/>
    <w:rPr>
      <w:rFonts w:ascii="Times New Roman" w:hAnsi="Times New Roman"/>
      <w:sz w:val="24"/>
      <w:szCs w:val="22"/>
      <w:lang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786A3D"/>
    <w:rPr>
      <w:rFonts w:ascii="Times New Roman" w:hAnsi="Times New Roman"/>
      <w:sz w:val="24"/>
      <w:szCs w:val="22"/>
      <w:lang w:val="en-GB" w:eastAsia="en-US" w:bidi="ar-SA"/>
    </w:rPr>
  </w:style>
  <w:style w:type="character" w:customStyle="1" w:styleId="Heading2Char">
    <w:name w:val="Heading 2 Char"/>
    <w:basedOn w:val="DefaultParagraphFont"/>
    <w:link w:val="Heading2"/>
    <w:uiPriority w:val="9"/>
    <w:rsid w:val="00433370"/>
    <w:rPr>
      <w:rFonts w:ascii="Times New Roman" w:eastAsia="Times New Roman" w:hAnsi="Times New Roman" w:cs="Times New Roman"/>
      <w:b/>
      <w:bCs/>
      <w:sz w:val="32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433370"/>
    <w:pPr>
      <w:pBdr>
        <w:bottom w:val="single" w:sz="8" w:space="4" w:color="4F81BD"/>
      </w:pBdr>
      <w:spacing w:after="300" w:line="240" w:lineRule="auto"/>
      <w:contextualSpacing/>
    </w:pPr>
    <w:rPr>
      <w:rFonts w:eastAsia="Times New Roman"/>
      <w:spacing w:val="5"/>
      <w:kern w:val="28"/>
      <w:sz w:val="48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33370"/>
    <w:rPr>
      <w:rFonts w:ascii="Times New Roman" w:eastAsia="Times New Roman" w:hAnsi="Times New Roman" w:cs="Times New Roman"/>
      <w:spacing w:val="5"/>
      <w:kern w:val="28"/>
      <w:sz w:val="48"/>
      <w:szCs w:val="52"/>
    </w:rPr>
  </w:style>
  <w:style w:type="paragraph" w:styleId="Header">
    <w:name w:val="header"/>
    <w:basedOn w:val="Normal"/>
    <w:link w:val="HeaderChar"/>
    <w:uiPriority w:val="99"/>
    <w:semiHidden/>
    <w:unhideWhenUsed/>
    <w:rsid w:val="00F31C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31C32"/>
    <w:rPr>
      <w:rFonts w:ascii="Comic Sans MS" w:hAnsi="Comic Sans MS" w:cs="Times New Roman"/>
      <w:sz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F31C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31C32"/>
    <w:rPr>
      <w:rFonts w:ascii="Comic Sans MS" w:hAnsi="Comic Sans MS" w:cs="Times New Roman"/>
      <w:sz w:val="24"/>
    </w:rPr>
  </w:style>
  <w:style w:type="paragraph" w:styleId="ListParagraph">
    <w:name w:val="List Paragraph"/>
    <w:basedOn w:val="Normal"/>
    <w:uiPriority w:val="34"/>
    <w:qFormat/>
    <w:rsid w:val="0043337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C2D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2D98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33370"/>
    <w:pPr>
      <w:numPr>
        <w:ilvl w:val="1"/>
      </w:numPr>
    </w:pPr>
    <w:rPr>
      <w:rFonts w:ascii="Cambria" w:eastAsia="Times New Roman" w:hAnsi="Cambria"/>
      <w:i/>
      <w:iCs/>
      <w:spacing w:val="15"/>
      <w:sz w:val="28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33370"/>
    <w:rPr>
      <w:rFonts w:ascii="Cambria" w:eastAsia="Times New Roman" w:hAnsi="Cambria" w:cs="Times New Roman"/>
      <w:i/>
      <w:iCs/>
      <w:spacing w:val="15"/>
      <w:sz w:val="28"/>
      <w:szCs w:val="24"/>
    </w:rPr>
  </w:style>
  <w:style w:type="paragraph" w:styleId="BodyText">
    <w:name w:val="Body Text"/>
    <w:basedOn w:val="Normal"/>
    <w:link w:val="BodyTextChar"/>
    <w:semiHidden/>
    <w:rsid w:val="001879BD"/>
    <w:pPr>
      <w:spacing w:after="0" w:line="240" w:lineRule="auto"/>
    </w:pPr>
    <w:rPr>
      <w:rFonts w:eastAsia="Times New Roman"/>
      <w:b/>
      <w:bCs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1879BD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lockText">
    <w:name w:val="Block Text"/>
    <w:basedOn w:val="Normal"/>
    <w:semiHidden/>
    <w:rsid w:val="001879BD"/>
    <w:pPr>
      <w:spacing w:after="0" w:line="360" w:lineRule="auto"/>
      <w:ind w:left="720" w:right="-694"/>
    </w:pPr>
    <w:rPr>
      <w:rFonts w:eastAsia="Times New Roman"/>
      <w:szCs w:val="24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3A4555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3A4555"/>
    <w:rPr>
      <w:rFonts w:ascii="Comic Sans MS" w:hAnsi="Comic Sans MS"/>
      <w:sz w:val="24"/>
      <w:szCs w:val="22"/>
      <w:lang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3337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33370"/>
    <w:rPr>
      <w:rFonts w:ascii="Times New Roman" w:hAnsi="Times New Roman"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433370"/>
    <w:rPr>
      <w:rFonts w:ascii="Cambria" w:eastAsia="Times New Roman" w:hAnsi="Cambria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353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Simple Chemical Reactions</vt:lpstr>
    </vt:vector>
  </TitlesOfParts>
  <Company>Microsoft</Company>
  <LinksUpToDate>false</LinksUpToDate>
  <CharactersWithSpaces>2366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Simple Chemical Reactions</dc:title>
  <dc:subject>Elephant’s toothpaste</dc:subject>
  <dc:creator>Andy Boswell</dc:creator>
  <cp:lastModifiedBy>Chris Lloyd</cp:lastModifiedBy>
  <cp:revision>12</cp:revision>
  <cp:lastPrinted>2016-06-06T09:48:00Z</cp:lastPrinted>
  <dcterms:created xsi:type="dcterms:W3CDTF">2015-11-06T08:53:00Z</dcterms:created>
  <dcterms:modified xsi:type="dcterms:W3CDTF">2020-11-25T09:01:00Z</dcterms:modified>
</cp:coreProperties>
</file>