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61D00803" w:rsidR="00F4431D" w:rsidRDefault="005F4685" w:rsidP="00F4431D">
            <w:r>
              <w:t>Traffic Lights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E77FC" w14:paraId="3A6BCC56" w14:textId="77777777" w:rsidTr="00CD4429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3681" w:type="dxa"/>
          </w:tcPr>
          <w:p w14:paraId="0BD72DA0" w14:textId="7B3E3552" w:rsidR="007E77FC" w:rsidRPr="00DD67F6" w:rsidRDefault="007E77FC" w:rsidP="007E77FC">
            <w:pPr>
              <w:rPr>
                <w:b/>
                <w:bCs/>
              </w:rPr>
            </w:pPr>
            <w:r w:rsidRPr="00AD4F33">
              <w:t>Sodium hydroxide solution is corrosive.</w:t>
            </w:r>
          </w:p>
        </w:tc>
        <w:tc>
          <w:tcPr>
            <w:tcW w:w="3118" w:type="dxa"/>
          </w:tcPr>
          <w:p w14:paraId="58FE0ACC" w14:textId="1C9090EA" w:rsidR="007E77FC" w:rsidRDefault="007E77FC" w:rsidP="007E77FC">
            <w:r w:rsidRPr="00AD4F33">
              <w:t xml:space="preserve">Technicians, </w:t>
            </w:r>
            <w:proofErr w:type="gramStart"/>
            <w:r w:rsidRPr="00AD4F33">
              <w:t>demonstrator</w:t>
            </w:r>
            <w:proofErr w:type="gramEnd"/>
            <w:r w:rsidRPr="00AD4F33">
              <w:t xml:space="preserve"> and audience</w:t>
            </w:r>
            <w:r>
              <w:t xml:space="preserve"> by splashing.</w:t>
            </w:r>
          </w:p>
        </w:tc>
        <w:tc>
          <w:tcPr>
            <w:tcW w:w="4649" w:type="dxa"/>
          </w:tcPr>
          <w:p w14:paraId="711419E0" w14:textId="77777777" w:rsidR="007E77FC" w:rsidRDefault="007E77FC" w:rsidP="007E77FC">
            <w:r>
              <w:t>Preparation of 0.5M NaOH. Wear indirect vent goggles (BS EN166 3) and gloves</w:t>
            </w:r>
          </w:p>
          <w:p w14:paraId="2B31A169" w14:textId="77777777" w:rsidR="007E77FC" w:rsidRDefault="007E77FC" w:rsidP="007E77FC"/>
          <w:p w14:paraId="24F10C60" w14:textId="619AA9F9" w:rsidR="007E77FC" w:rsidRDefault="007E77FC" w:rsidP="007E77FC">
            <w:r>
              <w:t>Ensure lid of bottle is tightly fastened before shaking. If solutions are spilled on skin, wash off with copious amounts of water.</w:t>
            </w:r>
          </w:p>
        </w:tc>
        <w:tc>
          <w:tcPr>
            <w:tcW w:w="993" w:type="dxa"/>
          </w:tcPr>
          <w:p w14:paraId="4E7497AA" w14:textId="77777777" w:rsidR="007E77FC" w:rsidRDefault="007E77FC" w:rsidP="007E77FC"/>
        </w:tc>
        <w:tc>
          <w:tcPr>
            <w:tcW w:w="850" w:type="dxa"/>
            <w:gridSpan w:val="2"/>
          </w:tcPr>
          <w:p w14:paraId="69EB37F6" w14:textId="77777777" w:rsidR="007E77FC" w:rsidRDefault="007E77FC" w:rsidP="007E77FC"/>
        </w:tc>
        <w:tc>
          <w:tcPr>
            <w:tcW w:w="992" w:type="dxa"/>
            <w:gridSpan w:val="2"/>
          </w:tcPr>
          <w:p w14:paraId="7FCEC516" w14:textId="77777777" w:rsidR="007E77FC" w:rsidRDefault="007E77FC" w:rsidP="007E77FC"/>
        </w:tc>
      </w:tr>
      <w:tr w:rsidR="007E77FC" w14:paraId="66CCB0B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1D36796" w14:textId="3B9DFC8B" w:rsidR="007E77FC" w:rsidRPr="006854D3" w:rsidRDefault="007E77FC" w:rsidP="007E77FC"/>
        </w:tc>
        <w:tc>
          <w:tcPr>
            <w:tcW w:w="3118" w:type="dxa"/>
          </w:tcPr>
          <w:p w14:paraId="3639CDB8" w14:textId="684BB650" w:rsidR="007E77FC" w:rsidRDefault="007E77FC" w:rsidP="007E77FC"/>
        </w:tc>
        <w:tc>
          <w:tcPr>
            <w:tcW w:w="4649" w:type="dxa"/>
          </w:tcPr>
          <w:p w14:paraId="6295D8B8" w14:textId="2E6809C6" w:rsidR="007E77FC" w:rsidRPr="00630719" w:rsidRDefault="007E77FC" w:rsidP="007E77FC">
            <w:pPr>
              <w:rPr>
                <w:rFonts w:cs="Tahoma"/>
              </w:rPr>
            </w:pPr>
          </w:p>
        </w:tc>
        <w:tc>
          <w:tcPr>
            <w:tcW w:w="993" w:type="dxa"/>
          </w:tcPr>
          <w:p w14:paraId="29A7F29F" w14:textId="77777777" w:rsidR="007E77FC" w:rsidRDefault="007E77FC" w:rsidP="007E77FC"/>
        </w:tc>
        <w:tc>
          <w:tcPr>
            <w:tcW w:w="850" w:type="dxa"/>
            <w:gridSpan w:val="2"/>
          </w:tcPr>
          <w:p w14:paraId="2B138731" w14:textId="77777777" w:rsidR="007E77FC" w:rsidRDefault="007E77FC" w:rsidP="007E77FC"/>
        </w:tc>
        <w:tc>
          <w:tcPr>
            <w:tcW w:w="992" w:type="dxa"/>
            <w:gridSpan w:val="2"/>
          </w:tcPr>
          <w:p w14:paraId="27363CF1" w14:textId="77777777" w:rsidR="007E77FC" w:rsidRDefault="007E77FC" w:rsidP="007E77FC"/>
        </w:tc>
      </w:tr>
      <w:tr w:rsidR="007E77FC" w14:paraId="6254C302" w14:textId="77777777" w:rsidTr="00CD4429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3681" w:type="dxa"/>
          </w:tcPr>
          <w:p w14:paraId="070D90DC" w14:textId="36C25C16" w:rsidR="007E77FC" w:rsidRDefault="007E77FC" w:rsidP="007E77FC"/>
        </w:tc>
        <w:tc>
          <w:tcPr>
            <w:tcW w:w="3118" w:type="dxa"/>
          </w:tcPr>
          <w:p w14:paraId="2E7AFFBF" w14:textId="3A83E5A5" w:rsidR="007E77FC" w:rsidRDefault="007E77FC" w:rsidP="007E77FC"/>
        </w:tc>
        <w:tc>
          <w:tcPr>
            <w:tcW w:w="4649" w:type="dxa"/>
          </w:tcPr>
          <w:p w14:paraId="3FB2023A" w14:textId="646CE970" w:rsidR="007E77FC" w:rsidRDefault="007E77FC" w:rsidP="007E77FC"/>
        </w:tc>
        <w:tc>
          <w:tcPr>
            <w:tcW w:w="993" w:type="dxa"/>
          </w:tcPr>
          <w:p w14:paraId="2B0C3B9F" w14:textId="77777777" w:rsidR="007E77FC" w:rsidRDefault="007E77FC" w:rsidP="007E77FC"/>
        </w:tc>
        <w:tc>
          <w:tcPr>
            <w:tcW w:w="850" w:type="dxa"/>
            <w:gridSpan w:val="2"/>
          </w:tcPr>
          <w:p w14:paraId="0F58005B" w14:textId="77777777" w:rsidR="007E77FC" w:rsidRDefault="007E77FC" w:rsidP="007E77FC"/>
        </w:tc>
        <w:tc>
          <w:tcPr>
            <w:tcW w:w="992" w:type="dxa"/>
            <w:gridSpan w:val="2"/>
          </w:tcPr>
          <w:p w14:paraId="3E126260" w14:textId="77777777" w:rsidR="007E77FC" w:rsidRDefault="007E77FC" w:rsidP="007E77FC"/>
        </w:tc>
      </w:tr>
      <w:tr w:rsidR="007E77FC" w14:paraId="1B443BE8" w14:textId="77777777" w:rsidTr="00230CA2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3681" w:type="dxa"/>
          </w:tcPr>
          <w:p w14:paraId="43AD8CCF" w14:textId="493BBFA2" w:rsidR="007E77FC" w:rsidRPr="00DD67F6" w:rsidRDefault="007E77FC" w:rsidP="007E77F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73FFCB4B" w14:textId="0E00A161" w:rsidR="007E77FC" w:rsidRDefault="007E77FC" w:rsidP="007E77FC"/>
        </w:tc>
        <w:tc>
          <w:tcPr>
            <w:tcW w:w="4649" w:type="dxa"/>
          </w:tcPr>
          <w:p w14:paraId="3727043E" w14:textId="13C52A9E" w:rsidR="007E77FC" w:rsidRDefault="007E77FC" w:rsidP="007E77FC"/>
        </w:tc>
        <w:tc>
          <w:tcPr>
            <w:tcW w:w="993" w:type="dxa"/>
          </w:tcPr>
          <w:p w14:paraId="6EDA8C12" w14:textId="77777777" w:rsidR="007E77FC" w:rsidRDefault="007E77FC" w:rsidP="007E77FC"/>
        </w:tc>
        <w:tc>
          <w:tcPr>
            <w:tcW w:w="850" w:type="dxa"/>
            <w:gridSpan w:val="2"/>
          </w:tcPr>
          <w:p w14:paraId="513C8EAA" w14:textId="77777777" w:rsidR="007E77FC" w:rsidRDefault="007E77FC" w:rsidP="007E77FC"/>
        </w:tc>
        <w:tc>
          <w:tcPr>
            <w:tcW w:w="992" w:type="dxa"/>
            <w:gridSpan w:val="2"/>
          </w:tcPr>
          <w:p w14:paraId="1B3A00FA" w14:textId="77777777" w:rsidR="007E77FC" w:rsidRDefault="007E77FC" w:rsidP="007E77FC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34747AC9" w14:textId="77777777" w:rsidR="006219CF" w:rsidRDefault="006219CF" w:rsidP="006219CF">
            <w:r>
              <w:t>A bottle containing sodium hydroxide, glucose and indigo carmine is made up.</w:t>
            </w:r>
          </w:p>
          <w:p w14:paraId="73973042" w14:textId="77777777" w:rsidR="006219CF" w:rsidRDefault="006219CF" w:rsidP="006219CF"/>
          <w:p w14:paraId="0A233982" w14:textId="77777777" w:rsidR="006219CF" w:rsidRPr="00AD4F33" w:rsidRDefault="006219CF" w:rsidP="006219CF">
            <w:pPr>
              <w:pStyle w:val="BodyText"/>
            </w:pPr>
            <w:r w:rsidRPr="00AD4F33">
              <w:t>This is a Redox reaction.  The indicator can be oxidised many times by shaking.</w:t>
            </w:r>
          </w:p>
          <w:p w14:paraId="0461E880" w14:textId="77777777" w:rsidR="006219CF" w:rsidRPr="00AD4F33" w:rsidRDefault="006219CF" w:rsidP="006219CF">
            <w:pPr>
              <w:pStyle w:val="BodyText"/>
            </w:pPr>
            <w:r w:rsidRPr="00AD4F33">
              <w:t xml:space="preserve">Gently shaking the mixture produces one </w:t>
            </w:r>
            <w:r w:rsidRPr="006219CF">
              <w:rPr>
                <w:lang w:val="en-GB"/>
              </w:rPr>
              <w:t>oxidised</w:t>
            </w:r>
            <w:r w:rsidRPr="00AD4F33">
              <w:t xml:space="preserve"> form with a different colour, while vigorous shaking will then turn this into a different oxidised form again, with yet another colour still.  </w:t>
            </w:r>
          </w:p>
          <w:p w14:paraId="3B2139C9" w14:textId="77777777" w:rsidR="006219CF" w:rsidRPr="00AD4F33" w:rsidRDefault="006219CF" w:rsidP="006219CF">
            <w:pPr>
              <w:pStyle w:val="BodyText"/>
            </w:pPr>
            <w:r w:rsidRPr="00AD4F33">
              <w:t xml:space="preserve">As the mixture </w:t>
            </w:r>
            <w:proofErr w:type="gramStart"/>
            <w:r w:rsidRPr="00AD4F33">
              <w:t>is allowed to</w:t>
            </w:r>
            <w:proofErr w:type="gramEnd"/>
            <w:r w:rsidRPr="00AD4F33">
              <w:t xml:space="preserve"> stand, the dye reverts back to its reduced forms with the accompanying colours again becoming visible.</w:t>
            </w:r>
          </w:p>
          <w:p w14:paraId="4F5CD339" w14:textId="0172245D" w:rsidR="00047709" w:rsidRDefault="00047709" w:rsidP="00AC32ED"/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535D147A" w14:textId="77777777" w:rsidR="003C586B" w:rsidRDefault="003C586B" w:rsidP="003C586B"/>
          <w:p w14:paraId="41563409" w14:textId="77777777" w:rsidR="00047709" w:rsidRDefault="00047709" w:rsidP="00047709">
            <w:r>
              <w:t>The bromine and tomato juice mixture can be washed to waste with plenty of cold, running water.</w:t>
            </w:r>
          </w:p>
          <w:p w14:paraId="4EE96A39" w14:textId="2CD3C5EE" w:rsidR="003C586B" w:rsidRPr="00CE2308" w:rsidRDefault="003C586B" w:rsidP="003C586B"/>
        </w:tc>
      </w:tr>
    </w:tbl>
    <w:p w14:paraId="35C66601" w14:textId="77777777" w:rsidR="00185440" w:rsidRDefault="001A3EE2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D2628" w14:textId="77777777" w:rsidR="00E41AA4" w:rsidRDefault="00E41AA4">
      <w:r>
        <w:separator/>
      </w:r>
    </w:p>
  </w:endnote>
  <w:endnote w:type="continuationSeparator" w:id="0">
    <w:p w14:paraId="6B7FB64E" w14:textId="77777777" w:rsidR="00E41AA4" w:rsidRDefault="00E4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018BD" w14:textId="77777777" w:rsidR="00E41AA4" w:rsidRDefault="00E41AA4">
      <w:r>
        <w:separator/>
      </w:r>
    </w:p>
  </w:footnote>
  <w:footnote w:type="continuationSeparator" w:id="0">
    <w:p w14:paraId="0A77DA54" w14:textId="77777777" w:rsidR="00E41AA4" w:rsidRDefault="00E4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BE4"/>
    <w:multiLevelType w:val="hybridMultilevel"/>
    <w:tmpl w:val="8A94C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01FCE"/>
    <w:multiLevelType w:val="hybridMultilevel"/>
    <w:tmpl w:val="943E98D4"/>
    <w:lvl w:ilvl="0" w:tplc="B0123D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27D1F"/>
    <w:rsid w:val="0003290F"/>
    <w:rsid w:val="00040D6D"/>
    <w:rsid w:val="000442C5"/>
    <w:rsid w:val="00047709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6866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A3EE2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632FE"/>
    <w:rsid w:val="00273365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2AF"/>
    <w:rsid w:val="002C789C"/>
    <w:rsid w:val="002D5CE4"/>
    <w:rsid w:val="002E144F"/>
    <w:rsid w:val="002E272E"/>
    <w:rsid w:val="002F291A"/>
    <w:rsid w:val="00301328"/>
    <w:rsid w:val="00310020"/>
    <w:rsid w:val="00320F83"/>
    <w:rsid w:val="00321B0F"/>
    <w:rsid w:val="0032218E"/>
    <w:rsid w:val="00330627"/>
    <w:rsid w:val="00332C26"/>
    <w:rsid w:val="00334C10"/>
    <w:rsid w:val="0033647C"/>
    <w:rsid w:val="003424B3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586B"/>
    <w:rsid w:val="003C7A40"/>
    <w:rsid w:val="003D06B7"/>
    <w:rsid w:val="003F3EA1"/>
    <w:rsid w:val="003F5DB0"/>
    <w:rsid w:val="00424815"/>
    <w:rsid w:val="00427F41"/>
    <w:rsid w:val="00434D11"/>
    <w:rsid w:val="00440FD3"/>
    <w:rsid w:val="00452CE5"/>
    <w:rsid w:val="00464525"/>
    <w:rsid w:val="00470192"/>
    <w:rsid w:val="00471C02"/>
    <w:rsid w:val="00480E95"/>
    <w:rsid w:val="004A19B7"/>
    <w:rsid w:val="004A56CD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57EFB"/>
    <w:rsid w:val="005627B0"/>
    <w:rsid w:val="005718D0"/>
    <w:rsid w:val="00571D4B"/>
    <w:rsid w:val="00580A6F"/>
    <w:rsid w:val="005864EA"/>
    <w:rsid w:val="005929C6"/>
    <w:rsid w:val="005A3BB5"/>
    <w:rsid w:val="005A767D"/>
    <w:rsid w:val="005B08D0"/>
    <w:rsid w:val="005B51E7"/>
    <w:rsid w:val="005C3873"/>
    <w:rsid w:val="005C753E"/>
    <w:rsid w:val="005D1234"/>
    <w:rsid w:val="005D3F45"/>
    <w:rsid w:val="005E1A4C"/>
    <w:rsid w:val="005F1F31"/>
    <w:rsid w:val="005F4685"/>
    <w:rsid w:val="005F63E0"/>
    <w:rsid w:val="005F6D07"/>
    <w:rsid w:val="00615F7E"/>
    <w:rsid w:val="006219CF"/>
    <w:rsid w:val="00624DBB"/>
    <w:rsid w:val="00651C3F"/>
    <w:rsid w:val="00653692"/>
    <w:rsid w:val="006638AF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17E4B"/>
    <w:rsid w:val="00726700"/>
    <w:rsid w:val="00726B26"/>
    <w:rsid w:val="0073596C"/>
    <w:rsid w:val="00741F4E"/>
    <w:rsid w:val="00747162"/>
    <w:rsid w:val="00753834"/>
    <w:rsid w:val="007547AB"/>
    <w:rsid w:val="0075732C"/>
    <w:rsid w:val="007718A2"/>
    <w:rsid w:val="00772EB9"/>
    <w:rsid w:val="00773F88"/>
    <w:rsid w:val="007864BC"/>
    <w:rsid w:val="00792AC7"/>
    <w:rsid w:val="00794182"/>
    <w:rsid w:val="00797200"/>
    <w:rsid w:val="007B5ECF"/>
    <w:rsid w:val="007C1A93"/>
    <w:rsid w:val="007C7560"/>
    <w:rsid w:val="007D40DA"/>
    <w:rsid w:val="007D4EB6"/>
    <w:rsid w:val="007D7BC2"/>
    <w:rsid w:val="007E77FC"/>
    <w:rsid w:val="007F6BAB"/>
    <w:rsid w:val="00804690"/>
    <w:rsid w:val="008078DE"/>
    <w:rsid w:val="00815143"/>
    <w:rsid w:val="008216BE"/>
    <w:rsid w:val="00827A11"/>
    <w:rsid w:val="00832DA7"/>
    <w:rsid w:val="0085247F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325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14DE4"/>
    <w:rsid w:val="00A20275"/>
    <w:rsid w:val="00A2517F"/>
    <w:rsid w:val="00A53D82"/>
    <w:rsid w:val="00A556DC"/>
    <w:rsid w:val="00A66774"/>
    <w:rsid w:val="00A77EBB"/>
    <w:rsid w:val="00A80C25"/>
    <w:rsid w:val="00A939E6"/>
    <w:rsid w:val="00AA4BC1"/>
    <w:rsid w:val="00AC157A"/>
    <w:rsid w:val="00AC18DD"/>
    <w:rsid w:val="00AC32ED"/>
    <w:rsid w:val="00AD0667"/>
    <w:rsid w:val="00AE54C2"/>
    <w:rsid w:val="00AE6B09"/>
    <w:rsid w:val="00AF383F"/>
    <w:rsid w:val="00B016A8"/>
    <w:rsid w:val="00B12913"/>
    <w:rsid w:val="00B12F05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C42A0"/>
    <w:rsid w:val="00BD1D40"/>
    <w:rsid w:val="00BD2B84"/>
    <w:rsid w:val="00BE32A1"/>
    <w:rsid w:val="00C4187C"/>
    <w:rsid w:val="00C50CF7"/>
    <w:rsid w:val="00C51214"/>
    <w:rsid w:val="00C5187F"/>
    <w:rsid w:val="00C86433"/>
    <w:rsid w:val="00CA5A76"/>
    <w:rsid w:val="00CA7483"/>
    <w:rsid w:val="00CA7D8D"/>
    <w:rsid w:val="00CC2E4A"/>
    <w:rsid w:val="00CC5CDD"/>
    <w:rsid w:val="00CC7BD0"/>
    <w:rsid w:val="00CD4429"/>
    <w:rsid w:val="00CD64FF"/>
    <w:rsid w:val="00CE2308"/>
    <w:rsid w:val="00CF115E"/>
    <w:rsid w:val="00CF2FCA"/>
    <w:rsid w:val="00D02BFA"/>
    <w:rsid w:val="00D22D0B"/>
    <w:rsid w:val="00D24C31"/>
    <w:rsid w:val="00D34EAC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D67F6"/>
    <w:rsid w:val="00DE64BA"/>
    <w:rsid w:val="00DF0EF7"/>
    <w:rsid w:val="00DF0F81"/>
    <w:rsid w:val="00E02801"/>
    <w:rsid w:val="00E0611B"/>
    <w:rsid w:val="00E13262"/>
    <w:rsid w:val="00E41AA4"/>
    <w:rsid w:val="00E426F1"/>
    <w:rsid w:val="00E60471"/>
    <w:rsid w:val="00E701A6"/>
    <w:rsid w:val="00E81178"/>
    <w:rsid w:val="00E8193C"/>
    <w:rsid w:val="00E82E1C"/>
    <w:rsid w:val="00EB7C10"/>
    <w:rsid w:val="00EC52D5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61A81"/>
    <w:rsid w:val="00F71958"/>
    <w:rsid w:val="00FA4581"/>
    <w:rsid w:val="00FB624D"/>
    <w:rsid w:val="00FD0EEF"/>
    <w:rsid w:val="00FD14D0"/>
    <w:rsid w:val="00FD4362"/>
    <w:rsid w:val="00FE002E"/>
    <w:rsid w:val="00FE1B02"/>
    <w:rsid w:val="00FE4A4B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5929C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929C6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282</cp:revision>
  <dcterms:created xsi:type="dcterms:W3CDTF">2019-11-07T14:42:00Z</dcterms:created>
  <dcterms:modified xsi:type="dcterms:W3CDTF">2020-07-01T16:41:00Z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