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215994B3" w:rsidR="00F4431D" w:rsidRDefault="00F40AFA" w:rsidP="00F4431D">
            <w:r>
              <w:t>Silicon and Silanes from Sand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9819A7" w14:paraId="754CE5E6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99726C5" w14:textId="77777777" w:rsidR="009819A7" w:rsidRDefault="009819A7" w:rsidP="009819A7">
            <w:r>
              <w:t>Magnesium powder is highly flammable</w:t>
            </w:r>
          </w:p>
          <w:p w14:paraId="2E99102C" w14:textId="65B027F4" w:rsidR="009819A7" w:rsidRPr="00230E74" w:rsidRDefault="009819A7" w:rsidP="009819A7"/>
        </w:tc>
        <w:tc>
          <w:tcPr>
            <w:tcW w:w="3118" w:type="dxa"/>
          </w:tcPr>
          <w:p w14:paraId="4B816F0E" w14:textId="77777777" w:rsidR="009819A7" w:rsidRDefault="009819A7" w:rsidP="009819A7">
            <w:r>
              <w:t>Technician / Demonstrator</w:t>
            </w:r>
          </w:p>
          <w:p w14:paraId="410E27C0" w14:textId="236A5044" w:rsidR="009819A7" w:rsidRPr="00230E74" w:rsidRDefault="009819A7" w:rsidP="009819A7"/>
        </w:tc>
        <w:tc>
          <w:tcPr>
            <w:tcW w:w="4649" w:type="dxa"/>
          </w:tcPr>
          <w:p w14:paraId="24D9F547" w14:textId="77777777" w:rsidR="009819A7" w:rsidRDefault="009819A7" w:rsidP="009819A7">
            <w:r w:rsidRPr="002200CF">
              <w:t>Keep away from sources of ignition.</w:t>
            </w:r>
          </w:p>
          <w:p w14:paraId="58A35B31" w14:textId="77777777" w:rsidR="009819A7" w:rsidRDefault="009819A7" w:rsidP="009819A7"/>
          <w:p w14:paraId="2ED23A30" w14:textId="77777777" w:rsidR="009819A7" w:rsidRDefault="009819A7" w:rsidP="009819A7"/>
          <w:p w14:paraId="5717BA54" w14:textId="6130B23C" w:rsidR="009819A7" w:rsidRPr="00230E74" w:rsidRDefault="009819A7" w:rsidP="009819A7"/>
        </w:tc>
        <w:tc>
          <w:tcPr>
            <w:tcW w:w="993" w:type="dxa"/>
          </w:tcPr>
          <w:p w14:paraId="44541097" w14:textId="77777777" w:rsidR="009819A7" w:rsidRDefault="009819A7" w:rsidP="009819A7"/>
        </w:tc>
        <w:tc>
          <w:tcPr>
            <w:tcW w:w="850" w:type="dxa"/>
            <w:gridSpan w:val="2"/>
          </w:tcPr>
          <w:p w14:paraId="680D5628" w14:textId="77777777" w:rsidR="009819A7" w:rsidRDefault="009819A7" w:rsidP="009819A7"/>
        </w:tc>
        <w:tc>
          <w:tcPr>
            <w:tcW w:w="992" w:type="dxa"/>
            <w:gridSpan w:val="2"/>
          </w:tcPr>
          <w:p w14:paraId="62AF2C8C" w14:textId="77777777" w:rsidR="009819A7" w:rsidRDefault="009819A7" w:rsidP="009819A7"/>
        </w:tc>
      </w:tr>
      <w:tr w:rsidR="00E00CA3" w14:paraId="2310CBB4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73620D2C" w14:textId="77777777" w:rsidR="00E00CA3" w:rsidRDefault="00E00CA3" w:rsidP="00E00CA3">
            <w:r>
              <w:t>Magnesium burns very brightly and at a very high temperature.</w:t>
            </w:r>
          </w:p>
          <w:p w14:paraId="1418523E" w14:textId="77777777" w:rsidR="00E00CA3" w:rsidRDefault="00E00CA3" w:rsidP="009819A7"/>
        </w:tc>
        <w:tc>
          <w:tcPr>
            <w:tcW w:w="3118" w:type="dxa"/>
          </w:tcPr>
          <w:p w14:paraId="0417C5E8" w14:textId="08896146" w:rsidR="00E00CA3" w:rsidRDefault="00E00CA3" w:rsidP="009819A7">
            <w:r>
              <w:t>Demonstrator / audience</w:t>
            </w:r>
            <w:r>
              <w:t xml:space="preserve"> by </w:t>
            </w:r>
            <w:proofErr w:type="gramStart"/>
            <w:r>
              <w:t>coming into contact with</w:t>
            </w:r>
            <w:proofErr w:type="gramEnd"/>
            <w:r>
              <w:t xml:space="preserve"> burning metal or looking directly at the flame</w:t>
            </w:r>
          </w:p>
        </w:tc>
        <w:tc>
          <w:tcPr>
            <w:tcW w:w="4649" w:type="dxa"/>
          </w:tcPr>
          <w:p w14:paraId="24329A97" w14:textId="77777777" w:rsidR="00E00CA3" w:rsidRDefault="00E00CA3" w:rsidP="00E00CA3">
            <w:r>
              <w:t xml:space="preserve">Care when carrying out reaction. </w:t>
            </w:r>
          </w:p>
          <w:p w14:paraId="1F0FFD4C" w14:textId="446150D2" w:rsidR="00E00CA3" w:rsidRPr="002200CF" w:rsidRDefault="00E00CA3" w:rsidP="00E00CA3">
            <w:r w:rsidRPr="002200CF">
              <w:t>Do not look directly at burning magnesium.</w:t>
            </w:r>
          </w:p>
        </w:tc>
        <w:tc>
          <w:tcPr>
            <w:tcW w:w="993" w:type="dxa"/>
          </w:tcPr>
          <w:p w14:paraId="4374FFEF" w14:textId="77777777" w:rsidR="00E00CA3" w:rsidRDefault="00E00CA3" w:rsidP="009819A7"/>
        </w:tc>
        <w:tc>
          <w:tcPr>
            <w:tcW w:w="850" w:type="dxa"/>
            <w:gridSpan w:val="2"/>
          </w:tcPr>
          <w:p w14:paraId="7A8B5DEB" w14:textId="77777777" w:rsidR="00E00CA3" w:rsidRDefault="00E00CA3" w:rsidP="009819A7"/>
        </w:tc>
        <w:tc>
          <w:tcPr>
            <w:tcW w:w="992" w:type="dxa"/>
            <w:gridSpan w:val="2"/>
          </w:tcPr>
          <w:p w14:paraId="4F9F085E" w14:textId="77777777" w:rsidR="00E00CA3" w:rsidRDefault="00E00CA3" w:rsidP="009819A7"/>
        </w:tc>
      </w:tr>
      <w:tr w:rsidR="00E00CA3" w14:paraId="629B126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8D361C0" w14:textId="77777777" w:rsidR="00E00CA3" w:rsidRDefault="00E00CA3" w:rsidP="00E00CA3">
            <w:r>
              <w:t xml:space="preserve">Particles of metallic magnesium entering the skin may produce a local </w:t>
            </w:r>
          </w:p>
          <w:p w14:paraId="3059C450" w14:textId="77777777" w:rsidR="00E00CA3" w:rsidRDefault="00E00CA3" w:rsidP="00E00CA3">
            <w:r>
              <w:t>lesion which is slow to heal.</w:t>
            </w:r>
          </w:p>
          <w:p w14:paraId="1AFD27E1" w14:textId="77777777" w:rsidR="00E00CA3" w:rsidRDefault="00E00CA3" w:rsidP="009819A7"/>
        </w:tc>
        <w:tc>
          <w:tcPr>
            <w:tcW w:w="3118" w:type="dxa"/>
          </w:tcPr>
          <w:p w14:paraId="1449565C" w14:textId="77777777" w:rsidR="00E00CA3" w:rsidRDefault="00E00CA3" w:rsidP="00E00CA3">
            <w:r>
              <w:t>Technician / Demonstrator</w:t>
            </w:r>
          </w:p>
          <w:p w14:paraId="7CEF9DDA" w14:textId="77777777" w:rsidR="00E00CA3" w:rsidRDefault="00E00CA3" w:rsidP="009819A7"/>
        </w:tc>
        <w:tc>
          <w:tcPr>
            <w:tcW w:w="4649" w:type="dxa"/>
          </w:tcPr>
          <w:p w14:paraId="64199234" w14:textId="77777777" w:rsidR="00E00CA3" w:rsidRDefault="00E00CA3" w:rsidP="00E00CA3">
            <w:r>
              <w:t>Care when handling.</w:t>
            </w:r>
          </w:p>
          <w:p w14:paraId="0F87C077" w14:textId="77777777" w:rsidR="00E00CA3" w:rsidRPr="002200CF" w:rsidRDefault="00E00CA3" w:rsidP="009819A7"/>
        </w:tc>
        <w:tc>
          <w:tcPr>
            <w:tcW w:w="993" w:type="dxa"/>
          </w:tcPr>
          <w:p w14:paraId="65EF49E7" w14:textId="77777777" w:rsidR="00E00CA3" w:rsidRDefault="00E00CA3" w:rsidP="009819A7"/>
        </w:tc>
        <w:tc>
          <w:tcPr>
            <w:tcW w:w="850" w:type="dxa"/>
            <w:gridSpan w:val="2"/>
          </w:tcPr>
          <w:p w14:paraId="27F3175C" w14:textId="77777777" w:rsidR="00E00CA3" w:rsidRDefault="00E00CA3" w:rsidP="009819A7"/>
        </w:tc>
        <w:tc>
          <w:tcPr>
            <w:tcW w:w="992" w:type="dxa"/>
            <w:gridSpan w:val="2"/>
          </w:tcPr>
          <w:p w14:paraId="33D3E23D" w14:textId="77777777" w:rsidR="00E00CA3" w:rsidRDefault="00E00CA3" w:rsidP="009819A7"/>
        </w:tc>
      </w:tr>
      <w:tr w:rsidR="009819A7" w14:paraId="6285628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4C67C2B2" w14:textId="0B8A9657" w:rsidR="009819A7" w:rsidRDefault="009819A7" w:rsidP="009819A7">
            <w:r>
              <w:t>Hydrochloric acid is corrosive</w:t>
            </w:r>
            <w:r>
              <w:t xml:space="preserve"> and produces irritating fumes.</w:t>
            </w:r>
          </w:p>
          <w:p w14:paraId="7BAD374C" w14:textId="77777777" w:rsidR="009819A7" w:rsidRDefault="009819A7" w:rsidP="009819A7"/>
          <w:p w14:paraId="3F2F5991" w14:textId="49B894E5" w:rsidR="009819A7" w:rsidRDefault="009819A7" w:rsidP="009819A7">
            <w:r>
              <w:t>2</w:t>
            </w:r>
            <w:r>
              <w:t xml:space="preserve"> </w:t>
            </w:r>
            <w:r w:rsidRPr="00EB5333">
              <w:t>mol l</w:t>
            </w:r>
            <w:r w:rsidRPr="00EB5333">
              <w:rPr>
                <w:vertAlign w:val="superscript"/>
              </w:rPr>
              <w:t>-1</w:t>
            </w:r>
            <w:r w:rsidRPr="00EB5333">
              <w:t xml:space="preserve"> </w:t>
            </w:r>
            <w:r>
              <w:t xml:space="preserve">hydrochloric acid is </w:t>
            </w:r>
            <w:r>
              <w:t>of no significant hazard</w:t>
            </w:r>
          </w:p>
          <w:p w14:paraId="4CF91061" w14:textId="5F2CA6F4" w:rsidR="009819A7" w:rsidRDefault="009819A7" w:rsidP="009819A7">
            <w:pPr>
              <w:rPr>
                <w:b/>
              </w:rPr>
            </w:pPr>
          </w:p>
        </w:tc>
        <w:tc>
          <w:tcPr>
            <w:tcW w:w="3118" w:type="dxa"/>
          </w:tcPr>
          <w:p w14:paraId="3079219A" w14:textId="77777777" w:rsidR="009819A7" w:rsidRDefault="009819A7" w:rsidP="009819A7">
            <w:r>
              <w:t>Technician preparing dilute solution.</w:t>
            </w:r>
          </w:p>
          <w:p w14:paraId="320ADDE6" w14:textId="77777777" w:rsidR="009819A7" w:rsidRDefault="009819A7" w:rsidP="009819A7"/>
          <w:p w14:paraId="65EF88EF" w14:textId="77777777" w:rsidR="009819A7" w:rsidRDefault="009819A7" w:rsidP="009819A7"/>
          <w:p w14:paraId="3165247F" w14:textId="77777777" w:rsidR="009819A7" w:rsidRDefault="009819A7" w:rsidP="009819A7"/>
          <w:p w14:paraId="09F63CAC" w14:textId="4841347A" w:rsidR="009819A7" w:rsidRDefault="009819A7" w:rsidP="009819A7"/>
        </w:tc>
        <w:tc>
          <w:tcPr>
            <w:tcW w:w="4649" w:type="dxa"/>
          </w:tcPr>
          <w:p w14:paraId="1CC26A2F" w14:textId="769341B7" w:rsidR="009819A7" w:rsidRDefault="009819A7" w:rsidP="009819A7">
            <w:r>
              <w:t xml:space="preserve">Work in a fume cupboard or in a </w:t>
            </w:r>
            <w:proofErr w:type="gramStart"/>
            <w:r>
              <w:t>well ventilated</w:t>
            </w:r>
            <w:proofErr w:type="gramEnd"/>
            <w:r>
              <w:t xml:space="preserve"> area. </w:t>
            </w:r>
            <w:r>
              <w:t xml:space="preserve">Wear goggles (EN166 3). </w:t>
            </w:r>
          </w:p>
          <w:p w14:paraId="69703FA6" w14:textId="77777777" w:rsidR="009819A7" w:rsidRDefault="009819A7" w:rsidP="009819A7"/>
          <w:p w14:paraId="3D855DE5" w14:textId="77777777" w:rsidR="009819A7" w:rsidRDefault="009819A7" w:rsidP="009819A7"/>
          <w:p w14:paraId="46824762" w14:textId="77777777" w:rsidR="009819A7" w:rsidRDefault="009819A7" w:rsidP="009819A7"/>
        </w:tc>
        <w:tc>
          <w:tcPr>
            <w:tcW w:w="993" w:type="dxa"/>
          </w:tcPr>
          <w:p w14:paraId="0EF95D96" w14:textId="77777777" w:rsidR="009819A7" w:rsidRDefault="009819A7" w:rsidP="009819A7"/>
        </w:tc>
        <w:tc>
          <w:tcPr>
            <w:tcW w:w="850" w:type="dxa"/>
            <w:gridSpan w:val="2"/>
          </w:tcPr>
          <w:p w14:paraId="0F87F4F3" w14:textId="77777777" w:rsidR="009819A7" w:rsidRDefault="009819A7" w:rsidP="009819A7"/>
        </w:tc>
        <w:tc>
          <w:tcPr>
            <w:tcW w:w="992" w:type="dxa"/>
            <w:gridSpan w:val="2"/>
          </w:tcPr>
          <w:p w14:paraId="6DCCBD41" w14:textId="77777777" w:rsidR="009819A7" w:rsidRDefault="009819A7" w:rsidP="009819A7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Default="00AF383F" w:rsidP="00FA0129"/>
          <w:p w14:paraId="6C31D00B" w14:textId="77777777" w:rsidR="001C1899" w:rsidRDefault="001C1899" w:rsidP="001C1899">
            <w:r>
              <w:t>Silicon dioxide and magnesium powder are mixed and heated.</w:t>
            </w:r>
          </w:p>
          <w:p w14:paraId="4E07202B" w14:textId="77777777" w:rsidR="001C1899" w:rsidRDefault="001C1899" w:rsidP="001C1899"/>
          <w:p w14:paraId="4F5CD339" w14:textId="672EE760" w:rsidR="00E707AE" w:rsidRDefault="001C1899" w:rsidP="001C1899">
            <w:pPr>
              <w:spacing w:after="240"/>
            </w:pPr>
            <w:r>
              <w:t xml:space="preserve">The resulting mixture </w:t>
            </w:r>
            <w:proofErr w:type="gramStart"/>
            <w:r>
              <w:t>is allowed to</w:t>
            </w:r>
            <w:proofErr w:type="gramEnd"/>
            <w:r>
              <w:t xml:space="preserve"> cool and then poured into </w:t>
            </w:r>
            <w:r>
              <w:t>d</w:t>
            </w:r>
            <w:r>
              <w:t xml:space="preserve">ilute HCl. The silanes spontaneously combust in contact with water, the </w:t>
            </w:r>
            <w:r>
              <w:t>m</w:t>
            </w:r>
            <w:r>
              <w:t>agnesium reacts with the acid and you are le</w:t>
            </w:r>
            <w:r>
              <w:t>f</w:t>
            </w:r>
            <w:r>
              <w:t>t with silicon.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5B5162DC" w:rsidR="00707692" w:rsidRPr="00CE2308" w:rsidRDefault="00707692" w:rsidP="00FC1B0F"/>
        </w:tc>
      </w:tr>
    </w:tbl>
    <w:p w14:paraId="35C66601" w14:textId="77777777" w:rsidR="00185440" w:rsidRDefault="005B60F5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83BA3" w14:textId="77777777" w:rsidR="00F23088" w:rsidRDefault="00F23088">
      <w:r>
        <w:separator/>
      </w:r>
    </w:p>
  </w:endnote>
  <w:endnote w:type="continuationSeparator" w:id="0">
    <w:p w14:paraId="238B1722" w14:textId="77777777" w:rsidR="00F23088" w:rsidRDefault="00F2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30FAE" w14:textId="77777777" w:rsidR="00F23088" w:rsidRDefault="00F23088">
      <w:r>
        <w:separator/>
      </w:r>
    </w:p>
  </w:footnote>
  <w:footnote w:type="continuationSeparator" w:id="0">
    <w:p w14:paraId="492526DE" w14:textId="77777777" w:rsidR="00F23088" w:rsidRDefault="00F2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F34C0"/>
    <w:multiLevelType w:val="hybridMultilevel"/>
    <w:tmpl w:val="943E98D4"/>
    <w:lvl w:ilvl="0" w:tplc="B0123D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07D16"/>
    <w:multiLevelType w:val="hybridMultilevel"/>
    <w:tmpl w:val="EE7CA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34AD5"/>
    <w:rsid w:val="00040D6D"/>
    <w:rsid w:val="00056BDB"/>
    <w:rsid w:val="00057E81"/>
    <w:rsid w:val="000627E0"/>
    <w:rsid w:val="00065E28"/>
    <w:rsid w:val="00071DE9"/>
    <w:rsid w:val="00074B30"/>
    <w:rsid w:val="00082D00"/>
    <w:rsid w:val="00086106"/>
    <w:rsid w:val="000928ED"/>
    <w:rsid w:val="000A2D11"/>
    <w:rsid w:val="000A71FD"/>
    <w:rsid w:val="000B1935"/>
    <w:rsid w:val="000B6C3E"/>
    <w:rsid w:val="000C5081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1899"/>
    <w:rsid w:val="001C313A"/>
    <w:rsid w:val="001C313E"/>
    <w:rsid w:val="001D1C70"/>
    <w:rsid w:val="001D1F1B"/>
    <w:rsid w:val="00207672"/>
    <w:rsid w:val="00220B40"/>
    <w:rsid w:val="0022249C"/>
    <w:rsid w:val="002242A5"/>
    <w:rsid w:val="0022610F"/>
    <w:rsid w:val="002425BC"/>
    <w:rsid w:val="00245F7D"/>
    <w:rsid w:val="00253901"/>
    <w:rsid w:val="00260194"/>
    <w:rsid w:val="00272489"/>
    <w:rsid w:val="00280014"/>
    <w:rsid w:val="00283111"/>
    <w:rsid w:val="002849D0"/>
    <w:rsid w:val="00291E98"/>
    <w:rsid w:val="0029572F"/>
    <w:rsid w:val="0029725F"/>
    <w:rsid w:val="00297908"/>
    <w:rsid w:val="002A2817"/>
    <w:rsid w:val="002A4BD9"/>
    <w:rsid w:val="002B1D78"/>
    <w:rsid w:val="002C3B8F"/>
    <w:rsid w:val="002C789C"/>
    <w:rsid w:val="002D28CF"/>
    <w:rsid w:val="002D4667"/>
    <w:rsid w:val="002D5CE4"/>
    <w:rsid w:val="002F2006"/>
    <w:rsid w:val="002F291A"/>
    <w:rsid w:val="00301328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656F8"/>
    <w:rsid w:val="00373A40"/>
    <w:rsid w:val="0037562B"/>
    <w:rsid w:val="0038668D"/>
    <w:rsid w:val="00393E7C"/>
    <w:rsid w:val="00397813"/>
    <w:rsid w:val="003A403E"/>
    <w:rsid w:val="003B2E9D"/>
    <w:rsid w:val="003D06B7"/>
    <w:rsid w:val="003F3EA1"/>
    <w:rsid w:val="00424815"/>
    <w:rsid w:val="00427F41"/>
    <w:rsid w:val="00440FD3"/>
    <w:rsid w:val="00452CE5"/>
    <w:rsid w:val="00464525"/>
    <w:rsid w:val="00470192"/>
    <w:rsid w:val="00471C02"/>
    <w:rsid w:val="00480E95"/>
    <w:rsid w:val="0049624C"/>
    <w:rsid w:val="004A19B7"/>
    <w:rsid w:val="004A563A"/>
    <w:rsid w:val="004B117E"/>
    <w:rsid w:val="004B377E"/>
    <w:rsid w:val="004B3F05"/>
    <w:rsid w:val="004B4563"/>
    <w:rsid w:val="004C0F6C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627B0"/>
    <w:rsid w:val="005718D0"/>
    <w:rsid w:val="00571D4B"/>
    <w:rsid w:val="005864EA"/>
    <w:rsid w:val="005A385E"/>
    <w:rsid w:val="005A3BB5"/>
    <w:rsid w:val="005A767D"/>
    <w:rsid w:val="005B08D0"/>
    <w:rsid w:val="005B60F5"/>
    <w:rsid w:val="005C3873"/>
    <w:rsid w:val="005C753E"/>
    <w:rsid w:val="005D0395"/>
    <w:rsid w:val="005D1234"/>
    <w:rsid w:val="005D3F45"/>
    <w:rsid w:val="005E1A4C"/>
    <w:rsid w:val="005F1F31"/>
    <w:rsid w:val="005F63E0"/>
    <w:rsid w:val="005F6D07"/>
    <w:rsid w:val="00615F7E"/>
    <w:rsid w:val="006260C8"/>
    <w:rsid w:val="00651C3F"/>
    <w:rsid w:val="00653692"/>
    <w:rsid w:val="00667E95"/>
    <w:rsid w:val="00681771"/>
    <w:rsid w:val="0068379C"/>
    <w:rsid w:val="00690606"/>
    <w:rsid w:val="006B055B"/>
    <w:rsid w:val="006B22D5"/>
    <w:rsid w:val="006B2818"/>
    <w:rsid w:val="006C25FB"/>
    <w:rsid w:val="006C2DED"/>
    <w:rsid w:val="006C5894"/>
    <w:rsid w:val="006E25DB"/>
    <w:rsid w:val="006E27A3"/>
    <w:rsid w:val="006F27D0"/>
    <w:rsid w:val="006F40B2"/>
    <w:rsid w:val="00705B88"/>
    <w:rsid w:val="00706931"/>
    <w:rsid w:val="0070728A"/>
    <w:rsid w:val="00707692"/>
    <w:rsid w:val="0072182C"/>
    <w:rsid w:val="00726B26"/>
    <w:rsid w:val="0073596C"/>
    <w:rsid w:val="00741F4E"/>
    <w:rsid w:val="00747162"/>
    <w:rsid w:val="0075248B"/>
    <w:rsid w:val="00753834"/>
    <w:rsid w:val="007547AB"/>
    <w:rsid w:val="0075732C"/>
    <w:rsid w:val="007718A2"/>
    <w:rsid w:val="007864BC"/>
    <w:rsid w:val="00792AC7"/>
    <w:rsid w:val="00794182"/>
    <w:rsid w:val="00797200"/>
    <w:rsid w:val="007C1A93"/>
    <w:rsid w:val="007C7560"/>
    <w:rsid w:val="007D40DA"/>
    <w:rsid w:val="007D4EB6"/>
    <w:rsid w:val="007D7BC2"/>
    <w:rsid w:val="007F6BAB"/>
    <w:rsid w:val="0080265D"/>
    <w:rsid w:val="00804690"/>
    <w:rsid w:val="00815143"/>
    <w:rsid w:val="008216BE"/>
    <w:rsid w:val="00827A11"/>
    <w:rsid w:val="00832DA7"/>
    <w:rsid w:val="00844174"/>
    <w:rsid w:val="00860C5C"/>
    <w:rsid w:val="00865BAE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5583A"/>
    <w:rsid w:val="009601EF"/>
    <w:rsid w:val="009664E8"/>
    <w:rsid w:val="009722C4"/>
    <w:rsid w:val="009819A7"/>
    <w:rsid w:val="00982354"/>
    <w:rsid w:val="0098248A"/>
    <w:rsid w:val="009921E9"/>
    <w:rsid w:val="009B3520"/>
    <w:rsid w:val="009C3490"/>
    <w:rsid w:val="009C7752"/>
    <w:rsid w:val="009D58D6"/>
    <w:rsid w:val="009D6DC6"/>
    <w:rsid w:val="009E1670"/>
    <w:rsid w:val="009E5CFF"/>
    <w:rsid w:val="009F3CCD"/>
    <w:rsid w:val="00A02E16"/>
    <w:rsid w:val="00A20275"/>
    <w:rsid w:val="00A2517F"/>
    <w:rsid w:val="00A50E6F"/>
    <w:rsid w:val="00A556DC"/>
    <w:rsid w:val="00A66774"/>
    <w:rsid w:val="00A939E6"/>
    <w:rsid w:val="00AA03C3"/>
    <w:rsid w:val="00AA4BC1"/>
    <w:rsid w:val="00AC157A"/>
    <w:rsid w:val="00AC18DD"/>
    <w:rsid w:val="00AD0667"/>
    <w:rsid w:val="00AE54C2"/>
    <w:rsid w:val="00AE6B09"/>
    <w:rsid w:val="00AF383F"/>
    <w:rsid w:val="00B016A8"/>
    <w:rsid w:val="00B10222"/>
    <w:rsid w:val="00B12913"/>
    <w:rsid w:val="00B13569"/>
    <w:rsid w:val="00B1485F"/>
    <w:rsid w:val="00B163C3"/>
    <w:rsid w:val="00B177E1"/>
    <w:rsid w:val="00B32CCC"/>
    <w:rsid w:val="00B4509C"/>
    <w:rsid w:val="00B538E8"/>
    <w:rsid w:val="00B54934"/>
    <w:rsid w:val="00B61204"/>
    <w:rsid w:val="00B62F0F"/>
    <w:rsid w:val="00B62FA4"/>
    <w:rsid w:val="00B7296B"/>
    <w:rsid w:val="00B72A4C"/>
    <w:rsid w:val="00B73857"/>
    <w:rsid w:val="00B74497"/>
    <w:rsid w:val="00B758F6"/>
    <w:rsid w:val="00B77F17"/>
    <w:rsid w:val="00B97264"/>
    <w:rsid w:val="00BA3643"/>
    <w:rsid w:val="00BA77E1"/>
    <w:rsid w:val="00BD1D40"/>
    <w:rsid w:val="00BD2B84"/>
    <w:rsid w:val="00BE32A1"/>
    <w:rsid w:val="00BE419E"/>
    <w:rsid w:val="00C17A9E"/>
    <w:rsid w:val="00C4187C"/>
    <w:rsid w:val="00C50CF7"/>
    <w:rsid w:val="00C51214"/>
    <w:rsid w:val="00C5187F"/>
    <w:rsid w:val="00C519B7"/>
    <w:rsid w:val="00C63522"/>
    <w:rsid w:val="00C64AB4"/>
    <w:rsid w:val="00C73547"/>
    <w:rsid w:val="00C86433"/>
    <w:rsid w:val="00CA5A76"/>
    <w:rsid w:val="00CA7483"/>
    <w:rsid w:val="00CA7D8D"/>
    <w:rsid w:val="00CC5CDD"/>
    <w:rsid w:val="00CC7BD0"/>
    <w:rsid w:val="00CD64FF"/>
    <w:rsid w:val="00CE2308"/>
    <w:rsid w:val="00CF115E"/>
    <w:rsid w:val="00CF2FCA"/>
    <w:rsid w:val="00D02BFA"/>
    <w:rsid w:val="00D15D16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95610"/>
    <w:rsid w:val="00D95A6A"/>
    <w:rsid w:val="00DA6CA2"/>
    <w:rsid w:val="00DB0C27"/>
    <w:rsid w:val="00DB6C7D"/>
    <w:rsid w:val="00DB7540"/>
    <w:rsid w:val="00DC4C4A"/>
    <w:rsid w:val="00DE64BA"/>
    <w:rsid w:val="00DF0EF7"/>
    <w:rsid w:val="00DF0F81"/>
    <w:rsid w:val="00E00CA3"/>
    <w:rsid w:val="00E02801"/>
    <w:rsid w:val="00E0611B"/>
    <w:rsid w:val="00E13262"/>
    <w:rsid w:val="00E20E85"/>
    <w:rsid w:val="00E2655F"/>
    <w:rsid w:val="00E426F1"/>
    <w:rsid w:val="00E60471"/>
    <w:rsid w:val="00E6346A"/>
    <w:rsid w:val="00E701A6"/>
    <w:rsid w:val="00E707AE"/>
    <w:rsid w:val="00E81178"/>
    <w:rsid w:val="00E8193C"/>
    <w:rsid w:val="00E81C0C"/>
    <w:rsid w:val="00E82E1C"/>
    <w:rsid w:val="00E8454A"/>
    <w:rsid w:val="00E91C04"/>
    <w:rsid w:val="00E929B7"/>
    <w:rsid w:val="00EB7C10"/>
    <w:rsid w:val="00F0049E"/>
    <w:rsid w:val="00F052CB"/>
    <w:rsid w:val="00F11E60"/>
    <w:rsid w:val="00F1425A"/>
    <w:rsid w:val="00F14337"/>
    <w:rsid w:val="00F2050C"/>
    <w:rsid w:val="00F23088"/>
    <w:rsid w:val="00F23C1E"/>
    <w:rsid w:val="00F31A31"/>
    <w:rsid w:val="00F36ACB"/>
    <w:rsid w:val="00F40AFA"/>
    <w:rsid w:val="00F4431D"/>
    <w:rsid w:val="00F50858"/>
    <w:rsid w:val="00F5440F"/>
    <w:rsid w:val="00F71958"/>
    <w:rsid w:val="00FA2B2E"/>
    <w:rsid w:val="00FA4581"/>
    <w:rsid w:val="00FA60DF"/>
    <w:rsid w:val="00FB624D"/>
    <w:rsid w:val="00FC1B0F"/>
    <w:rsid w:val="00FD0EEF"/>
    <w:rsid w:val="00FD14D0"/>
    <w:rsid w:val="00FD2C75"/>
    <w:rsid w:val="00FD4362"/>
    <w:rsid w:val="00FE002E"/>
    <w:rsid w:val="00FE1B02"/>
    <w:rsid w:val="00FF0327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E20E8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309</cp:revision>
  <dcterms:created xsi:type="dcterms:W3CDTF">2019-11-07T14:42:00Z</dcterms:created>
  <dcterms:modified xsi:type="dcterms:W3CDTF">2020-07-01T11:23:00Z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