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8240"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132AF" w14:textId="77777777" w:rsidR="00544046" w:rsidRDefault="00544046" w:rsidP="00544046">
                            <w:pPr>
                              <w:rPr>
                                <w:b/>
                                <w:bCs/>
                                <w:sz w:val="28"/>
                              </w:rPr>
                            </w:pPr>
                            <w:r>
                              <w:rPr>
                                <w:b/>
                                <w:bCs/>
                                <w:sz w:val="28"/>
                              </w:rPr>
                              <w:t xml:space="preserve">SSERC Risk Assessment </w:t>
                            </w:r>
                            <w:r>
                              <w:rPr>
                                <w:sz w:val="28"/>
                              </w:rPr>
                              <w:t>(revised version November 2009)</w:t>
                            </w:r>
                          </w:p>
                          <w:p w14:paraId="0F523D91" w14:textId="77777777" w:rsidR="00544046" w:rsidRDefault="00544046" w:rsidP="00544046">
                            <w:pPr>
                              <w:rPr>
                                <w:sz w:val="24"/>
                              </w:rPr>
                            </w:pPr>
                            <w:r>
                              <w:rPr>
                                <w:sz w:val="24"/>
                              </w:rPr>
                              <w:t xml:space="preserve">(based on HSE ‘5 steps to risk assessment’) </w:t>
                            </w:r>
                          </w:p>
                          <w:p w14:paraId="61109CEB" w14:textId="77777777" w:rsidR="00544046" w:rsidRDefault="00544046" w:rsidP="00544046">
                            <w:pPr>
                              <w:rPr>
                                <w:sz w:val="24"/>
                              </w:rPr>
                            </w:pPr>
                          </w:p>
                          <w:p w14:paraId="5560DAE1" w14:textId="77777777" w:rsidR="00544046" w:rsidRPr="00BE48E3" w:rsidRDefault="00544046" w:rsidP="00544046">
                            <w:r w:rsidRPr="00BE48E3">
                              <w:t>2 Pitreavie Court, South Pitreavie Business Park, Dunfermline KY11 8UB</w:t>
                            </w:r>
                          </w:p>
                          <w:p w14:paraId="7FB9DF13" w14:textId="77777777" w:rsidR="00544046" w:rsidRDefault="00544046" w:rsidP="00544046">
                            <w:pPr>
                              <w:rPr>
                                <w:sz w:val="18"/>
                              </w:rPr>
                            </w:pPr>
                            <w:proofErr w:type="spellStart"/>
                            <w:r>
                              <w:rPr>
                                <w:sz w:val="18"/>
                              </w:rPr>
                              <w:t>tel</w:t>
                            </w:r>
                            <w:proofErr w:type="spellEnd"/>
                            <w:r>
                              <w:rPr>
                                <w:sz w:val="18"/>
                              </w:rPr>
                              <w:t xml:space="preserve"> : 01383 626070 fax : 01383 842793</w:t>
                            </w:r>
                          </w:p>
                          <w:p w14:paraId="18AFC6FA" w14:textId="77777777" w:rsidR="00544046" w:rsidRDefault="00544046" w:rsidP="00544046">
                            <w:pPr>
                              <w:rPr>
                                <w:sz w:val="18"/>
                              </w:rPr>
                            </w:pPr>
                            <w:r>
                              <w:rPr>
                                <w:sz w:val="18"/>
                              </w:rPr>
                              <w:t xml:space="preserve">e-mail : </w:t>
                            </w:r>
                            <w:hyperlink r:id="rId9" w:history="1">
                              <w:r>
                                <w:rPr>
                                  <w:rStyle w:val="Hyperlink"/>
                                  <w:rFonts w:eastAsiaTheme="majorEastAsia"/>
                                  <w:sz w:val="18"/>
                                </w:rPr>
                                <w:t>sts@sserc.org.uk</w:t>
                              </w:r>
                            </w:hyperlink>
                            <w:r>
                              <w:rPr>
                                <w:sz w:val="18"/>
                              </w:rPr>
                              <w:tab/>
                              <w:t xml:space="preserve">web : </w:t>
                            </w:r>
                            <w:hyperlink r:id="rId10"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A9132AF" w14:textId="77777777" w:rsidR="00544046" w:rsidRDefault="00544046" w:rsidP="00544046">
                      <w:pPr>
                        <w:rPr>
                          <w:b/>
                          <w:bCs/>
                          <w:sz w:val="28"/>
                        </w:rPr>
                      </w:pPr>
                      <w:r>
                        <w:rPr>
                          <w:b/>
                          <w:bCs/>
                          <w:sz w:val="28"/>
                        </w:rPr>
                        <w:t xml:space="preserve">SSERC Risk Assessment </w:t>
                      </w:r>
                      <w:r>
                        <w:rPr>
                          <w:sz w:val="28"/>
                        </w:rPr>
                        <w:t>(revised version November 2009)</w:t>
                      </w:r>
                    </w:p>
                    <w:p w14:paraId="0F523D91" w14:textId="77777777" w:rsidR="00544046" w:rsidRDefault="00544046" w:rsidP="00544046">
                      <w:pPr>
                        <w:rPr>
                          <w:sz w:val="24"/>
                        </w:rPr>
                      </w:pPr>
                      <w:r>
                        <w:rPr>
                          <w:sz w:val="24"/>
                        </w:rPr>
                        <w:t xml:space="preserve">(based on HSE ‘5 steps to risk assessment’) </w:t>
                      </w:r>
                    </w:p>
                    <w:p w14:paraId="61109CEB" w14:textId="77777777" w:rsidR="00544046" w:rsidRDefault="00544046" w:rsidP="00544046">
                      <w:pPr>
                        <w:rPr>
                          <w:sz w:val="24"/>
                        </w:rPr>
                      </w:pPr>
                    </w:p>
                    <w:p w14:paraId="5560DAE1" w14:textId="77777777" w:rsidR="00544046" w:rsidRPr="00BE48E3" w:rsidRDefault="00544046" w:rsidP="00544046">
                      <w:r w:rsidRPr="00BE48E3">
                        <w:t>2 Pitreavie Court, South Pitreavie Business Park, Dunfermline KY11 8UB</w:t>
                      </w:r>
                    </w:p>
                    <w:p w14:paraId="7FB9DF13" w14:textId="77777777" w:rsidR="00544046" w:rsidRDefault="00544046" w:rsidP="00544046">
                      <w:pPr>
                        <w:rPr>
                          <w:sz w:val="18"/>
                        </w:rPr>
                      </w:pPr>
                      <w:proofErr w:type="spellStart"/>
                      <w:proofErr w:type="gramStart"/>
                      <w:r>
                        <w:rPr>
                          <w:sz w:val="18"/>
                        </w:rPr>
                        <w:t>tel</w:t>
                      </w:r>
                      <w:proofErr w:type="spellEnd"/>
                      <w:r>
                        <w:rPr>
                          <w:sz w:val="18"/>
                        </w:rPr>
                        <w:t xml:space="preserve"> :</w:t>
                      </w:r>
                      <w:proofErr w:type="gramEnd"/>
                      <w:r>
                        <w:rPr>
                          <w:sz w:val="18"/>
                        </w:rPr>
                        <w:t xml:space="preserve"> 01383 626070 fax : 01383 842793</w:t>
                      </w:r>
                    </w:p>
                    <w:p w14:paraId="18AFC6FA" w14:textId="77777777" w:rsidR="00544046" w:rsidRDefault="00544046" w:rsidP="00544046">
                      <w:pPr>
                        <w:rPr>
                          <w:sz w:val="18"/>
                        </w:rPr>
                      </w:pPr>
                      <w:r>
                        <w:rPr>
                          <w:sz w:val="18"/>
                        </w:rPr>
                        <w:t xml:space="preserve">e-mail : </w:t>
                      </w:r>
                      <w:hyperlink r:id="rId11" w:history="1">
                        <w:r>
                          <w:rPr>
                            <w:rStyle w:val="Hyperlink"/>
                            <w:rFonts w:eastAsiaTheme="majorEastAsia"/>
                            <w:sz w:val="18"/>
                          </w:rPr>
                          <w:t>sts@sserc.org.uk</w:t>
                        </w:r>
                      </w:hyperlink>
                      <w:r>
                        <w:rPr>
                          <w:sz w:val="18"/>
                        </w:rPr>
                        <w:tab/>
                        <w:t xml:space="preserve">web : </w:t>
                      </w:r>
                      <w:hyperlink r:id="rId12"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AF383F" w14:paraId="75C4DA97" w14:textId="77777777" w:rsidTr="00FA0129">
        <w:tc>
          <w:tcPr>
            <w:tcW w:w="3085" w:type="dxa"/>
          </w:tcPr>
          <w:p w14:paraId="24F8B409" w14:textId="77777777" w:rsidR="00AF383F" w:rsidRDefault="00AF383F" w:rsidP="00FA0129">
            <w:pPr>
              <w:pStyle w:val="Heading6"/>
            </w:pPr>
            <w:r>
              <w:t>Activity assessed</w:t>
            </w:r>
          </w:p>
        </w:tc>
        <w:tc>
          <w:tcPr>
            <w:tcW w:w="5843" w:type="dxa"/>
          </w:tcPr>
          <w:p w14:paraId="741F747D" w14:textId="1363E91D" w:rsidR="00AF383F" w:rsidRDefault="0047285D" w:rsidP="00FA0129">
            <w:r>
              <w:t>Methanol Flame Tests</w:t>
            </w:r>
          </w:p>
        </w:tc>
      </w:tr>
      <w:tr w:rsidR="00AF383F" w14:paraId="3F2923F4" w14:textId="77777777" w:rsidTr="00FA0129">
        <w:tc>
          <w:tcPr>
            <w:tcW w:w="3085" w:type="dxa"/>
          </w:tcPr>
          <w:p w14:paraId="1C02C460" w14:textId="77777777" w:rsidR="00AF383F" w:rsidRDefault="00AF383F" w:rsidP="00FA0129">
            <w:pPr>
              <w:rPr>
                <w:i/>
                <w:iCs/>
              </w:rPr>
            </w:pPr>
            <w:r>
              <w:rPr>
                <w:i/>
                <w:iCs/>
              </w:rPr>
              <w:t>Date of assessment</w:t>
            </w:r>
          </w:p>
        </w:tc>
        <w:tc>
          <w:tcPr>
            <w:tcW w:w="5843" w:type="dxa"/>
          </w:tcPr>
          <w:p w14:paraId="3134518C" w14:textId="0D284B16" w:rsidR="00AF383F" w:rsidRDefault="00AF383F" w:rsidP="00FA0129">
            <w:r>
              <w:t>3</w:t>
            </w:r>
            <w:r w:rsidRPr="00A27CF5">
              <w:rPr>
                <w:vertAlign w:val="superscript"/>
              </w:rPr>
              <w:t>rd</w:t>
            </w:r>
            <w:r>
              <w:t xml:space="preserve"> J</w:t>
            </w:r>
            <w:r w:rsidR="00E81178">
              <w:t>anuary</w:t>
            </w:r>
            <w:r>
              <w:t xml:space="preserve"> 20</w:t>
            </w:r>
            <w:r w:rsidR="00E81178">
              <w:t>20</w:t>
            </w:r>
          </w:p>
        </w:tc>
      </w:tr>
      <w:tr w:rsidR="00AF383F" w14:paraId="3A7FFB99" w14:textId="77777777" w:rsidTr="00FA0129">
        <w:tc>
          <w:tcPr>
            <w:tcW w:w="3085" w:type="dxa"/>
          </w:tcPr>
          <w:p w14:paraId="2855150B" w14:textId="77777777" w:rsidR="00AF383F" w:rsidRDefault="00AF383F" w:rsidP="00FA0129">
            <w:pPr>
              <w:rPr>
                <w:i/>
                <w:iCs/>
              </w:rPr>
            </w:pPr>
            <w:r>
              <w:rPr>
                <w:i/>
                <w:iCs/>
              </w:rPr>
              <w:t>Date of review (</w:t>
            </w:r>
            <w:r w:rsidRPr="00692100">
              <w:rPr>
                <w:b/>
                <w:i/>
                <w:iCs/>
              </w:rPr>
              <w:t>Step 5</w:t>
            </w:r>
            <w:r>
              <w:rPr>
                <w:i/>
                <w:iCs/>
              </w:rPr>
              <w:t>)</w:t>
            </w:r>
          </w:p>
        </w:tc>
        <w:tc>
          <w:tcPr>
            <w:tcW w:w="5843" w:type="dxa"/>
          </w:tcPr>
          <w:p w14:paraId="631512D2" w14:textId="77777777" w:rsidR="00AF383F" w:rsidRDefault="00AF383F" w:rsidP="00FA0129">
            <w:pPr>
              <w:pStyle w:val="Salutation"/>
            </w:pPr>
          </w:p>
        </w:tc>
      </w:tr>
      <w:tr w:rsidR="00AF383F" w14:paraId="430CE568" w14:textId="77777777" w:rsidTr="00FA0129">
        <w:tc>
          <w:tcPr>
            <w:tcW w:w="3085" w:type="dxa"/>
          </w:tcPr>
          <w:p w14:paraId="5AE3F958" w14:textId="77777777" w:rsidR="00AF383F" w:rsidRDefault="00AF383F" w:rsidP="00FA0129">
            <w:pPr>
              <w:rPr>
                <w:i/>
                <w:iCs/>
              </w:rPr>
            </w:pPr>
            <w:r>
              <w:rPr>
                <w:i/>
                <w:iCs/>
              </w:rPr>
              <w:t>School</w:t>
            </w:r>
          </w:p>
        </w:tc>
        <w:tc>
          <w:tcPr>
            <w:tcW w:w="5843" w:type="dxa"/>
          </w:tcPr>
          <w:p w14:paraId="76E179DC" w14:textId="77777777" w:rsidR="00AF383F" w:rsidRDefault="00AF383F" w:rsidP="00FA0129">
            <w:pPr>
              <w:pStyle w:val="Salutation"/>
            </w:pPr>
          </w:p>
        </w:tc>
      </w:tr>
      <w:tr w:rsidR="00AF383F" w14:paraId="5C5A9857" w14:textId="77777777" w:rsidTr="00FA0129">
        <w:tc>
          <w:tcPr>
            <w:tcW w:w="3085" w:type="dxa"/>
          </w:tcPr>
          <w:p w14:paraId="60C9A39E" w14:textId="77777777" w:rsidR="00AF383F" w:rsidRDefault="00AF383F" w:rsidP="00FA0129">
            <w:pPr>
              <w:rPr>
                <w:i/>
                <w:iCs/>
              </w:rPr>
            </w:pPr>
            <w:r>
              <w:rPr>
                <w:i/>
                <w:iCs/>
              </w:rPr>
              <w:t>Department</w:t>
            </w:r>
          </w:p>
        </w:tc>
        <w:tc>
          <w:tcPr>
            <w:tcW w:w="5843" w:type="dxa"/>
          </w:tcPr>
          <w:p w14:paraId="3296C043" w14:textId="77777777" w:rsidR="00AF383F" w:rsidRDefault="00AF383F" w:rsidP="00FA0129"/>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2693"/>
        <w:gridCol w:w="5783"/>
        <w:gridCol w:w="993"/>
        <w:gridCol w:w="141"/>
        <w:gridCol w:w="709"/>
        <w:gridCol w:w="284"/>
        <w:gridCol w:w="708"/>
      </w:tblGrid>
      <w:tr w:rsidR="000368B9" w14:paraId="08D0A906" w14:textId="77777777" w:rsidTr="000368B9">
        <w:trPr>
          <w:tblHeader/>
        </w:trPr>
        <w:tc>
          <w:tcPr>
            <w:tcW w:w="2972" w:type="dxa"/>
            <w:shd w:val="clear" w:color="auto" w:fill="E36C0A" w:themeFill="accent6" w:themeFillShade="BF"/>
          </w:tcPr>
          <w:p w14:paraId="44A868B0" w14:textId="77777777" w:rsidR="000368B9" w:rsidRDefault="000368B9" w:rsidP="005A2179">
            <w:pPr>
              <w:jc w:val="center"/>
              <w:rPr>
                <w:sz w:val="28"/>
              </w:rPr>
            </w:pPr>
            <w:r>
              <w:rPr>
                <w:sz w:val="28"/>
              </w:rPr>
              <w:t>Step 1</w:t>
            </w:r>
          </w:p>
        </w:tc>
        <w:tc>
          <w:tcPr>
            <w:tcW w:w="2693" w:type="dxa"/>
            <w:shd w:val="clear" w:color="auto" w:fill="E36C0A" w:themeFill="accent6" w:themeFillShade="BF"/>
          </w:tcPr>
          <w:p w14:paraId="0BC4FA96" w14:textId="77777777" w:rsidR="000368B9" w:rsidRDefault="000368B9" w:rsidP="005A2179">
            <w:pPr>
              <w:jc w:val="center"/>
              <w:rPr>
                <w:sz w:val="28"/>
              </w:rPr>
            </w:pPr>
            <w:r>
              <w:rPr>
                <w:sz w:val="28"/>
              </w:rPr>
              <w:t>Step 2</w:t>
            </w:r>
          </w:p>
        </w:tc>
        <w:tc>
          <w:tcPr>
            <w:tcW w:w="5783" w:type="dxa"/>
            <w:shd w:val="clear" w:color="auto" w:fill="E36C0A" w:themeFill="accent6" w:themeFillShade="BF"/>
          </w:tcPr>
          <w:p w14:paraId="1ECE0D62" w14:textId="77777777" w:rsidR="000368B9" w:rsidRDefault="000368B9" w:rsidP="005A2179">
            <w:pPr>
              <w:jc w:val="center"/>
              <w:rPr>
                <w:sz w:val="28"/>
              </w:rPr>
            </w:pPr>
            <w:r>
              <w:rPr>
                <w:sz w:val="28"/>
              </w:rPr>
              <w:t>Step 3</w:t>
            </w:r>
          </w:p>
        </w:tc>
        <w:tc>
          <w:tcPr>
            <w:tcW w:w="2835" w:type="dxa"/>
            <w:gridSpan w:val="5"/>
            <w:shd w:val="clear" w:color="auto" w:fill="E36C0A" w:themeFill="accent6" w:themeFillShade="BF"/>
          </w:tcPr>
          <w:p w14:paraId="61E4279D" w14:textId="77777777" w:rsidR="000368B9" w:rsidRDefault="000368B9" w:rsidP="005A2179">
            <w:pPr>
              <w:jc w:val="center"/>
              <w:rPr>
                <w:sz w:val="28"/>
              </w:rPr>
            </w:pPr>
            <w:r>
              <w:rPr>
                <w:sz w:val="28"/>
              </w:rPr>
              <w:t>Step 4</w:t>
            </w:r>
          </w:p>
        </w:tc>
      </w:tr>
      <w:tr w:rsidR="000368B9" w14:paraId="2BBEAD35" w14:textId="77777777" w:rsidTr="000368B9">
        <w:trPr>
          <w:tblHeader/>
        </w:trPr>
        <w:tc>
          <w:tcPr>
            <w:tcW w:w="2972" w:type="dxa"/>
            <w:vMerge w:val="restart"/>
            <w:shd w:val="clear" w:color="auto" w:fill="FABF8F" w:themeFill="accent6" w:themeFillTint="99"/>
          </w:tcPr>
          <w:p w14:paraId="47F10FBD" w14:textId="77777777" w:rsidR="000368B9" w:rsidRDefault="000368B9" w:rsidP="005A2179">
            <w:pPr>
              <w:pStyle w:val="Salutation"/>
              <w:rPr>
                <w:sz w:val="28"/>
              </w:rPr>
            </w:pPr>
            <w:r>
              <w:rPr>
                <w:i/>
                <w:iCs/>
              </w:rPr>
              <w:t>List Significant hazards here:</w:t>
            </w:r>
          </w:p>
        </w:tc>
        <w:tc>
          <w:tcPr>
            <w:tcW w:w="2693" w:type="dxa"/>
            <w:vMerge w:val="restart"/>
            <w:shd w:val="clear" w:color="auto" w:fill="FABF8F" w:themeFill="accent6" w:themeFillTint="99"/>
          </w:tcPr>
          <w:p w14:paraId="05F5A738" w14:textId="77777777" w:rsidR="000368B9" w:rsidRDefault="000368B9" w:rsidP="005A2179">
            <w:pPr>
              <w:rPr>
                <w:sz w:val="28"/>
              </w:rPr>
            </w:pPr>
            <w:r>
              <w:rPr>
                <w:i/>
                <w:iCs/>
              </w:rPr>
              <w:t>Who might be harmed and how?</w:t>
            </w:r>
          </w:p>
        </w:tc>
        <w:tc>
          <w:tcPr>
            <w:tcW w:w="5783" w:type="dxa"/>
            <w:vMerge w:val="restart"/>
            <w:shd w:val="clear" w:color="auto" w:fill="FABF8F" w:themeFill="accent6" w:themeFillTint="99"/>
          </w:tcPr>
          <w:p w14:paraId="3C1CD5DA" w14:textId="77777777" w:rsidR="000368B9" w:rsidRDefault="000368B9" w:rsidP="005A2179">
            <w:pPr>
              <w:rPr>
                <w:i/>
                <w:iCs/>
              </w:rPr>
            </w:pPr>
            <w:r>
              <w:rPr>
                <w:i/>
                <w:iCs/>
              </w:rPr>
              <w:t>What are you already doing?</w:t>
            </w:r>
          </w:p>
          <w:p w14:paraId="3944E31D" w14:textId="77777777" w:rsidR="000368B9" w:rsidRPr="00B22648" w:rsidRDefault="000368B9" w:rsidP="005A2179">
            <w:pPr>
              <w:rPr>
                <w:i/>
                <w:iCs/>
              </w:rPr>
            </w:pPr>
            <w:r>
              <w:rPr>
                <w:i/>
                <w:iCs/>
              </w:rPr>
              <w:t>What further action is needed?</w:t>
            </w:r>
          </w:p>
        </w:tc>
        <w:tc>
          <w:tcPr>
            <w:tcW w:w="2835" w:type="dxa"/>
            <w:gridSpan w:val="5"/>
            <w:shd w:val="clear" w:color="auto" w:fill="FABF8F" w:themeFill="accent6" w:themeFillTint="99"/>
          </w:tcPr>
          <w:p w14:paraId="22C99DFD" w14:textId="77777777" w:rsidR="000368B9" w:rsidRPr="00B22648" w:rsidRDefault="000368B9" w:rsidP="005A2179">
            <w:pPr>
              <w:jc w:val="center"/>
              <w:rPr>
                <w:i/>
                <w:iCs/>
              </w:rPr>
            </w:pPr>
            <w:r w:rsidRPr="00B22648">
              <w:rPr>
                <w:i/>
                <w:iCs/>
              </w:rPr>
              <w:t>Actions</w:t>
            </w:r>
          </w:p>
        </w:tc>
      </w:tr>
      <w:tr w:rsidR="000368B9" w14:paraId="00FED889" w14:textId="77777777" w:rsidTr="000368B9">
        <w:trPr>
          <w:trHeight w:val="344"/>
        </w:trPr>
        <w:tc>
          <w:tcPr>
            <w:tcW w:w="2972" w:type="dxa"/>
            <w:vMerge/>
            <w:shd w:val="clear" w:color="auto" w:fill="FABF8F" w:themeFill="accent6" w:themeFillTint="99"/>
          </w:tcPr>
          <w:p w14:paraId="4D0789DE" w14:textId="77777777" w:rsidR="000368B9" w:rsidRDefault="000368B9" w:rsidP="005A2179">
            <w:pPr>
              <w:pStyle w:val="Salutation"/>
              <w:rPr>
                <w:i/>
                <w:iCs/>
              </w:rPr>
            </w:pPr>
          </w:p>
        </w:tc>
        <w:tc>
          <w:tcPr>
            <w:tcW w:w="2693" w:type="dxa"/>
            <w:vMerge/>
            <w:shd w:val="clear" w:color="auto" w:fill="FABF8F" w:themeFill="accent6" w:themeFillTint="99"/>
          </w:tcPr>
          <w:p w14:paraId="3540EBA8" w14:textId="77777777" w:rsidR="000368B9" w:rsidRDefault="000368B9" w:rsidP="005A2179">
            <w:pPr>
              <w:rPr>
                <w:i/>
                <w:iCs/>
              </w:rPr>
            </w:pPr>
          </w:p>
        </w:tc>
        <w:tc>
          <w:tcPr>
            <w:tcW w:w="5783" w:type="dxa"/>
            <w:vMerge/>
            <w:shd w:val="clear" w:color="auto" w:fill="FABF8F" w:themeFill="accent6" w:themeFillTint="99"/>
          </w:tcPr>
          <w:p w14:paraId="169D55FD" w14:textId="77777777" w:rsidR="000368B9" w:rsidRDefault="000368B9" w:rsidP="005A2179">
            <w:pPr>
              <w:rPr>
                <w:i/>
                <w:iCs/>
              </w:rPr>
            </w:pPr>
          </w:p>
        </w:tc>
        <w:tc>
          <w:tcPr>
            <w:tcW w:w="1134" w:type="dxa"/>
            <w:gridSpan w:val="2"/>
            <w:shd w:val="clear" w:color="auto" w:fill="FABF8F" w:themeFill="accent6" w:themeFillTint="99"/>
          </w:tcPr>
          <w:p w14:paraId="2CF8891A" w14:textId="77777777" w:rsidR="000368B9" w:rsidRDefault="000368B9" w:rsidP="005A2179">
            <w:pPr>
              <w:rPr>
                <w:i/>
                <w:iCs/>
              </w:rPr>
            </w:pPr>
            <w:r>
              <w:rPr>
                <w:i/>
                <w:iCs/>
              </w:rPr>
              <w:t>by whom?</w:t>
            </w:r>
          </w:p>
        </w:tc>
        <w:tc>
          <w:tcPr>
            <w:tcW w:w="993" w:type="dxa"/>
            <w:gridSpan w:val="2"/>
            <w:shd w:val="clear" w:color="auto" w:fill="FABF8F" w:themeFill="accent6" w:themeFillTint="99"/>
          </w:tcPr>
          <w:p w14:paraId="55B07B24" w14:textId="77777777" w:rsidR="000368B9" w:rsidRDefault="000368B9" w:rsidP="005A2179">
            <w:pPr>
              <w:rPr>
                <w:i/>
                <w:iCs/>
              </w:rPr>
            </w:pPr>
            <w:r>
              <w:rPr>
                <w:i/>
                <w:iCs/>
              </w:rPr>
              <w:t>Due date</w:t>
            </w:r>
          </w:p>
        </w:tc>
        <w:tc>
          <w:tcPr>
            <w:tcW w:w="708" w:type="dxa"/>
            <w:shd w:val="clear" w:color="auto" w:fill="FABF8F" w:themeFill="accent6" w:themeFillTint="99"/>
          </w:tcPr>
          <w:p w14:paraId="6E7105F7" w14:textId="77777777" w:rsidR="000368B9" w:rsidRDefault="000368B9" w:rsidP="005A2179">
            <w:pPr>
              <w:rPr>
                <w:i/>
                <w:iCs/>
              </w:rPr>
            </w:pPr>
            <w:r>
              <w:rPr>
                <w:i/>
                <w:iCs/>
              </w:rPr>
              <w:t>Done</w:t>
            </w:r>
          </w:p>
        </w:tc>
      </w:tr>
      <w:tr w:rsidR="00655982" w14:paraId="4EFBE6C4" w14:textId="77777777" w:rsidTr="00126C65">
        <w:tblPrEx>
          <w:tblCellMar>
            <w:left w:w="108" w:type="dxa"/>
            <w:right w:w="108" w:type="dxa"/>
          </w:tblCellMar>
        </w:tblPrEx>
        <w:trPr>
          <w:trHeight w:val="709"/>
        </w:trPr>
        <w:tc>
          <w:tcPr>
            <w:tcW w:w="2972" w:type="dxa"/>
          </w:tcPr>
          <w:p w14:paraId="0F4FF121" w14:textId="6CCCD326" w:rsidR="00655982" w:rsidRDefault="00655982" w:rsidP="00655982">
            <w:r>
              <w:t>Methanol is highly flammable and toxic – particularly to the optic nerve.</w:t>
            </w:r>
          </w:p>
        </w:tc>
        <w:tc>
          <w:tcPr>
            <w:tcW w:w="2693" w:type="dxa"/>
          </w:tcPr>
          <w:p w14:paraId="08E233F7" w14:textId="4527DE27" w:rsidR="00655982" w:rsidRDefault="00655982" w:rsidP="00655982">
            <w:r>
              <w:t>Technician and/or teacher</w:t>
            </w:r>
          </w:p>
        </w:tc>
        <w:tc>
          <w:tcPr>
            <w:tcW w:w="5783" w:type="dxa"/>
          </w:tcPr>
          <w:p w14:paraId="12468F9F" w14:textId="77777777" w:rsidR="00655982" w:rsidRDefault="00655982" w:rsidP="00655982">
            <w:r>
              <w:t>Work in a well-ventilated area.</w:t>
            </w:r>
          </w:p>
          <w:p w14:paraId="380077C4" w14:textId="77777777" w:rsidR="00655982" w:rsidRDefault="00655982" w:rsidP="00655982">
            <w:r>
              <w:t>Keep well away from sources of ignition (especially container)</w:t>
            </w:r>
          </w:p>
          <w:p w14:paraId="04FF6C1B" w14:textId="77777777" w:rsidR="00655982" w:rsidRDefault="00655982" w:rsidP="00655982">
            <w:r>
              <w:t>Do not use more than the suggested amount.</w:t>
            </w:r>
          </w:p>
          <w:p w14:paraId="7C5CA8F4" w14:textId="55E2E960" w:rsidR="00655982" w:rsidRDefault="00655982" w:rsidP="00655982">
            <w:r>
              <w:t>Do not leave the samples standing for longer than necessary – to reduce any evaporation of methanol.</w:t>
            </w:r>
          </w:p>
        </w:tc>
        <w:tc>
          <w:tcPr>
            <w:tcW w:w="993" w:type="dxa"/>
          </w:tcPr>
          <w:p w14:paraId="09CA8CA2" w14:textId="77777777" w:rsidR="00655982" w:rsidRDefault="00655982" w:rsidP="00655982"/>
        </w:tc>
        <w:tc>
          <w:tcPr>
            <w:tcW w:w="850" w:type="dxa"/>
            <w:gridSpan w:val="2"/>
          </w:tcPr>
          <w:p w14:paraId="3A81DD39" w14:textId="77777777" w:rsidR="00655982" w:rsidRDefault="00655982" w:rsidP="00655982"/>
        </w:tc>
        <w:tc>
          <w:tcPr>
            <w:tcW w:w="992" w:type="dxa"/>
            <w:gridSpan w:val="2"/>
          </w:tcPr>
          <w:p w14:paraId="23109A4B" w14:textId="77777777" w:rsidR="00655982" w:rsidRDefault="00655982" w:rsidP="00655982"/>
        </w:tc>
      </w:tr>
      <w:tr w:rsidR="00655982" w14:paraId="7F555C9D" w14:textId="77777777" w:rsidTr="003D7C14">
        <w:tblPrEx>
          <w:tblCellMar>
            <w:left w:w="108" w:type="dxa"/>
            <w:right w:w="108" w:type="dxa"/>
          </w:tblCellMar>
        </w:tblPrEx>
        <w:trPr>
          <w:trHeight w:val="709"/>
        </w:trPr>
        <w:tc>
          <w:tcPr>
            <w:tcW w:w="2972" w:type="dxa"/>
          </w:tcPr>
          <w:p w14:paraId="120BA85F" w14:textId="4D4AE252" w:rsidR="00655982" w:rsidRDefault="00655982" w:rsidP="00655982">
            <w:r>
              <w:t>metal salts are various combinations of: toxic, harmful, dangerous for the environment and irritant</w:t>
            </w:r>
          </w:p>
        </w:tc>
        <w:tc>
          <w:tcPr>
            <w:tcW w:w="2693" w:type="dxa"/>
          </w:tcPr>
          <w:p w14:paraId="473A82D9" w14:textId="77777777" w:rsidR="00655982" w:rsidRDefault="00655982" w:rsidP="00655982">
            <w:r>
              <w:t>Technician and/or teacher by inhalation</w:t>
            </w:r>
          </w:p>
          <w:p w14:paraId="2ABA90BB" w14:textId="77777777" w:rsidR="00655982" w:rsidRDefault="00655982" w:rsidP="00655982"/>
          <w:p w14:paraId="6446FE21" w14:textId="4CD94BB7" w:rsidR="00655982" w:rsidRDefault="00655982" w:rsidP="00655982"/>
        </w:tc>
        <w:tc>
          <w:tcPr>
            <w:tcW w:w="5783" w:type="dxa"/>
          </w:tcPr>
          <w:p w14:paraId="40398F83" w14:textId="77777777" w:rsidR="00655982" w:rsidRDefault="00655982" w:rsidP="00655982">
            <w:r>
              <w:t>Avoid raising dust</w:t>
            </w:r>
          </w:p>
          <w:p w14:paraId="7B436177" w14:textId="77777777" w:rsidR="00655982" w:rsidRDefault="00655982" w:rsidP="00655982"/>
          <w:p w14:paraId="62FEFA01" w14:textId="77777777" w:rsidR="00655982" w:rsidRDefault="00655982" w:rsidP="00655982">
            <w:r>
              <w:t>Wear eye protection and possibly gloves.</w:t>
            </w:r>
          </w:p>
          <w:p w14:paraId="6AC9E83B" w14:textId="77777777" w:rsidR="00655982" w:rsidRDefault="00655982" w:rsidP="00655982"/>
          <w:p w14:paraId="5EDF008A" w14:textId="77777777" w:rsidR="00655982" w:rsidRDefault="00655982" w:rsidP="00655982">
            <w:r>
              <w:t>If contact with eyes or skin wash off/ out with copious quantities of water</w:t>
            </w:r>
          </w:p>
          <w:p w14:paraId="3FF3F68E" w14:textId="524F1DDD" w:rsidR="00655982" w:rsidRDefault="00655982" w:rsidP="00655982"/>
        </w:tc>
        <w:tc>
          <w:tcPr>
            <w:tcW w:w="993" w:type="dxa"/>
          </w:tcPr>
          <w:p w14:paraId="0D466C2C" w14:textId="77777777" w:rsidR="00655982" w:rsidRDefault="00655982" w:rsidP="00655982"/>
        </w:tc>
        <w:tc>
          <w:tcPr>
            <w:tcW w:w="850" w:type="dxa"/>
            <w:gridSpan w:val="2"/>
          </w:tcPr>
          <w:p w14:paraId="61B08B81" w14:textId="77777777" w:rsidR="00655982" w:rsidRDefault="00655982" w:rsidP="00655982"/>
        </w:tc>
        <w:tc>
          <w:tcPr>
            <w:tcW w:w="992" w:type="dxa"/>
            <w:gridSpan w:val="2"/>
          </w:tcPr>
          <w:p w14:paraId="4CE4C48E" w14:textId="77777777" w:rsidR="00655982" w:rsidRDefault="00655982" w:rsidP="00655982"/>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9D6DC6">
        <w:trPr>
          <w:trHeight w:val="1450"/>
        </w:trPr>
        <w:tc>
          <w:tcPr>
            <w:tcW w:w="14283" w:type="dxa"/>
          </w:tcPr>
          <w:p w14:paraId="57DD7B39" w14:textId="77777777" w:rsidR="00AF383F" w:rsidRDefault="00AF383F" w:rsidP="00FA0129">
            <w:pPr>
              <w:rPr>
                <w:b/>
                <w:bCs/>
                <w:sz w:val="28"/>
              </w:rPr>
            </w:pPr>
            <w:r>
              <w:rPr>
                <w:b/>
                <w:bCs/>
                <w:sz w:val="28"/>
              </w:rPr>
              <w:t>Description of activity:</w:t>
            </w:r>
          </w:p>
          <w:p w14:paraId="66CD1C29" w14:textId="77777777" w:rsidR="00AF383F" w:rsidRDefault="00AF383F" w:rsidP="00FA0129"/>
          <w:p w14:paraId="28901B43" w14:textId="77777777" w:rsidR="00680608" w:rsidRDefault="00680608" w:rsidP="00680608">
            <w:r>
              <w:t xml:space="preserve">Small quantities of salts are placed on </w:t>
            </w:r>
            <w:proofErr w:type="spellStart"/>
            <w:r>
              <w:t>pyrex</w:t>
            </w:r>
            <w:proofErr w:type="spellEnd"/>
            <w:r>
              <w:t xml:space="preserve"> watch glasses or petri-dishes. A few cm</w:t>
            </w:r>
            <w:r w:rsidRPr="00FA2386">
              <w:rPr>
                <w:vertAlign w:val="superscript"/>
              </w:rPr>
              <w:t>3</w:t>
            </w:r>
            <w:r>
              <w:t xml:space="preserve"> of methanol is placed on top and ignited. After a few seconds enough of the metal ions begins to evaporate to produce the characteristic flame colour of the element. With these quantities, the flames die down in about a minute.</w:t>
            </w:r>
          </w:p>
          <w:p w14:paraId="3B729AD4" w14:textId="77777777" w:rsidR="00680608" w:rsidRDefault="00680608" w:rsidP="00680608"/>
          <w:p w14:paraId="4F5CD339" w14:textId="363B0585" w:rsidR="00AF383F" w:rsidRDefault="00680608" w:rsidP="00680608">
            <w:r>
              <w:t>Methanol is used in preference to ethanol as the flame is all but completely colourless.</w:t>
            </w:r>
            <w:r>
              <w:t xml:space="preserve"> Though ethanol is safer.</w:t>
            </w:r>
          </w:p>
        </w:tc>
      </w:tr>
      <w:tr w:rsidR="00AF383F" w14:paraId="6B9CDADB" w14:textId="77777777" w:rsidTr="00FA0129">
        <w:trPr>
          <w:trHeight w:val="1132"/>
        </w:trPr>
        <w:tc>
          <w:tcPr>
            <w:tcW w:w="14283" w:type="dxa"/>
          </w:tcPr>
          <w:p w14:paraId="625F576D" w14:textId="77777777" w:rsidR="00AF383F" w:rsidRDefault="00AF383F" w:rsidP="00FA0129">
            <w:pPr>
              <w:rPr>
                <w:b/>
                <w:bCs/>
                <w:sz w:val="28"/>
              </w:rPr>
            </w:pPr>
            <w:r>
              <w:rPr>
                <w:b/>
                <w:bCs/>
                <w:sz w:val="28"/>
              </w:rPr>
              <w:t>Additional comments:</w:t>
            </w:r>
          </w:p>
          <w:p w14:paraId="7EA9EBDA" w14:textId="77777777" w:rsidR="00AF383F" w:rsidRDefault="00AF383F" w:rsidP="00FA0129">
            <w:pPr>
              <w:rPr>
                <w:b/>
                <w:bCs/>
                <w:sz w:val="28"/>
              </w:rPr>
            </w:pPr>
          </w:p>
          <w:p w14:paraId="0D42B22D" w14:textId="407E6645" w:rsidR="009C6A07" w:rsidRDefault="009C6A07" w:rsidP="009C6A07">
            <w:r>
              <w:t xml:space="preserve">Methanol is </w:t>
            </w:r>
            <w:r w:rsidRPr="009C6A07">
              <w:rPr>
                <w:b/>
                <w:bCs/>
              </w:rPr>
              <w:t>highly</w:t>
            </w:r>
            <w:r>
              <w:t xml:space="preserve"> flammable</w:t>
            </w:r>
            <w:r>
              <w:t xml:space="preserve"> and toxic, especially to the optic nerve</w:t>
            </w:r>
            <w:r>
              <w:t>. Do not use larger amounts than stated.</w:t>
            </w:r>
          </w:p>
          <w:p w14:paraId="52BA0E43" w14:textId="77777777" w:rsidR="009C6A07" w:rsidRDefault="009C6A07" w:rsidP="009C6A07"/>
          <w:p w14:paraId="46C1F6BB" w14:textId="77777777" w:rsidR="009C6A07" w:rsidRDefault="009C6A07" w:rsidP="009C6A07">
            <w:r>
              <w:lastRenderedPageBreak/>
              <w:t xml:space="preserve">Once finished, if you wish to repeat the experiment do </w:t>
            </w:r>
            <w:r w:rsidRPr="009C6A07">
              <w:rPr>
                <w:b/>
                <w:bCs/>
              </w:rPr>
              <w:t>not</w:t>
            </w:r>
            <w:r>
              <w:t xml:space="preserve"> add more methanol until the watch glasses are completely cool (or use fresh ones). There have been (in the USA, granted) some nasty accidents where teachers have tried topping up the containers while still burning!</w:t>
            </w:r>
          </w:p>
          <w:p w14:paraId="1A234E56" w14:textId="77777777" w:rsidR="009C6A07" w:rsidRDefault="009C6A07" w:rsidP="009C6A07"/>
          <w:p w14:paraId="4EE96A39" w14:textId="5780EA05" w:rsidR="00AF383F" w:rsidRDefault="009C6A07" w:rsidP="009C6A07">
            <w:r>
              <w:t>An alternative to glass containers is to use the metal containers that tea lights come in. Interestingly, when using these, the copper chloride reacts with the aluminium in some way and the flame goes blue rather than green.</w:t>
            </w:r>
          </w:p>
        </w:tc>
      </w:tr>
    </w:tbl>
    <w:p w14:paraId="35C66601" w14:textId="77777777" w:rsidR="00185440" w:rsidRDefault="00A0202C"/>
    <w:sectPr w:rsidR="00185440" w:rsidSect="00817893">
      <w:footerReference w:type="default" r:id="rId14"/>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D97BC" w14:textId="77777777" w:rsidR="00A0202C" w:rsidRDefault="00A0202C">
      <w:r>
        <w:separator/>
      </w:r>
    </w:p>
  </w:endnote>
  <w:endnote w:type="continuationSeparator" w:id="0">
    <w:p w14:paraId="1E401017" w14:textId="77777777" w:rsidR="00A0202C" w:rsidRDefault="00A0202C">
      <w:r>
        <w:continuationSeparator/>
      </w:r>
    </w:p>
  </w:endnote>
  <w:endnote w:type="continuationNotice" w:id="1">
    <w:p w14:paraId="541D2199" w14:textId="77777777" w:rsidR="00A0202C" w:rsidRDefault="00A02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161" w14:textId="1DEB503D" w:rsidR="00E8410A" w:rsidRDefault="00AF383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5286C" w14:textId="77777777" w:rsidR="00A0202C" w:rsidRDefault="00A0202C">
      <w:r>
        <w:separator/>
      </w:r>
    </w:p>
  </w:footnote>
  <w:footnote w:type="continuationSeparator" w:id="0">
    <w:p w14:paraId="1A1A8567" w14:textId="77777777" w:rsidR="00A0202C" w:rsidRDefault="00A0202C">
      <w:r>
        <w:continuationSeparator/>
      </w:r>
    </w:p>
  </w:footnote>
  <w:footnote w:type="continuationNotice" w:id="1">
    <w:p w14:paraId="6E9C73B1" w14:textId="77777777" w:rsidR="00A0202C" w:rsidRDefault="00A020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47A5"/>
    <w:rsid w:val="000368B9"/>
    <w:rsid w:val="00191634"/>
    <w:rsid w:val="001D1C70"/>
    <w:rsid w:val="002471A7"/>
    <w:rsid w:val="00283111"/>
    <w:rsid w:val="002D5CE4"/>
    <w:rsid w:val="00393E7C"/>
    <w:rsid w:val="003F3EA1"/>
    <w:rsid w:val="004647E7"/>
    <w:rsid w:val="0047285D"/>
    <w:rsid w:val="00480E95"/>
    <w:rsid w:val="004B4563"/>
    <w:rsid w:val="00504E8C"/>
    <w:rsid w:val="0053768A"/>
    <w:rsid w:val="00544046"/>
    <w:rsid w:val="005C124A"/>
    <w:rsid w:val="00655982"/>
    <w:rsid w:val="00680608"/>
    <w:rsid w:val="006E27A3"/>
    <w:rsid w:val="00753834"/>
    <w:rsid w:val="00921FAF"/>
    <w:rsid w:val="009468D1"/>
    <w:rsid w:val="009601EF"/>
    <w:rsid w:val="009C6A07"/>
    <w:rsid w:val="009D6DC6"/>
    <w:rsid w:val="00A0202C"/>
    <w:rsid w:val="00AA0E4F"/>
    <w:rsid w:val="00AF383F"/>
    <w:rsid w:val="00B016A8"/>
    <w:rsid w:val="00BA3643"/>
    <w:rsid w:val="00CD64FF"/>
    <w:rsid w:val="00D24C31"/>
    <w:rsid w:val="00D44875"/>
    <w:rsid w:val="00DB1236"/>
    <w:rsid w:val="00DB7540"/>
    <w:rsid w:val="00E81178"/>
    <w:rsid w:val="00E82E1C"/>
    <w:rsid w:val="00EB7C10"/>
    <w:rsid w:val="00EE68D9"/>
    <w:rsid w:val="00F2050C"/>
    <w:rsid w:val="00F31A31"/>
    <w:rsid w:val="00FB3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DB1236"/>
    <w:pPr>
      <w:tabs>
        <w:tab w:val="center" w:pos="4513"/>
        <w:tab w:val="right" w:pos="9026"/>
      </w:tabs>
    </w:pPr>
  </w:style>
  <w:style w:type="character" w:customStyle="1" w:styleId="HeaderChar">
    <w:name w:val="Header Char"/>
    <w:basedOn w:val="DefaultParagraphFont"/>
    <w:link w:val="Header"/>
    <w:uiPriority w:val="99"/>
    <w:rsid w:val="00DB1236"/>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ser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s@sserc.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serc.org.uk" TargetMode="External"/><Relationship Id="rId4" Type="http://schemas.openxmlformats.org/officeDocument/2006/relationships/styles" Target="styles.xml"/><Relationship Id="rId9" Type="http://schemas.openxmlformats.org/officeDocument/2006/relationships/hyperlink" Target="mailto:sts@sser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3.xml><?xml version="1.0" encoding="utf-8"?>
<ds:datastoreItem xmlns:ds="http://schemas.openxmlformats.org/officeDocument/2006/customXml" ds:itemID="{2283C0B0-F5A6-42CF-AB92-54DE97521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28</cp:revision>
  <dcterms:created xsi:type="dcterms:W3CDTF">2019-11-07T14:42:00Z</dcterms:created>
  <dcterms:modified xsi:type="dcterms:W3CDTF">2020-08-12T10:40:00Z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