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FB5DD" w14:textId="1AA01862" w:rsidR="00817893" w:rsidRDefault="00B22648" w:rsidP="00817893">
      <w:pPr>
        <w:pStyle w:val="Heading1"/>
        <w:rPr>
          <w:sz w:val="24"/>
        </w:rPr>
      </w:pPr>
      <w:r>
        <w:rPr>
          <w:i w:val="0"/>
          <w:noProof/>
          <w:sz w:val="24"/>
        </w:rPr>
        <mc:AlternateContent>
          <mc:Choice Requires="wps">
            <w:drawing>
              <wp:anchor distT="0" distB="0" distL="114300" distR="114300" simplePos="0" relativeHeight="251657728" behindDoc="0" locked="0" layoutInCell="1" allowOverlap="1" wp14:anchorId="29121602" wp14:editId="3C3F5CD6">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B51C" w14:textId="1C3149CB" w:rsidR="00942DC7" w:rsidRDefault="00942DC7">
                            <w:pPr>
                              <w:rPr>
                                <w:b/>
                                <w:bCs/>
                                <w:sz w:val="28"/>
                              </w:rPr>
                            </w:pPr>
                            <w:r>
                              <w:rPr>
                                <w:b/>
                                <w:bCs/>
                                <w:sz w:val="28"/>
                              </w:rPr>
                              <w:t xml:space="preserve">SSERC Risk Assessment </w:t>
                            </w:r>
                            <w:r>
                              <w:rPr>
                                <w:sz w:val="28"/>
                              </w:rPr>
                              <w:t>(revised version March 2018)</w:t>
                            </w:r>
                          </w:p>
                          <w:p w14:paraId="5DA5D14F" w14:textId="303A6B64" w:rsidR="00942DC7" w:rsidRDefault="00942DC7">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4C36AC54" w14:textId="77777777" w:rsidR="00942DC7" w:rsidRDefault="00942DC7">
                            <w:pPr>
                              <w:rPr>
                                <w:sz w:val="24"/>
                              </w:rPr>
                            </w:pPr>
                          </w:p>
                          <w:p w14:paraId="3D5B9CDD" w14:textId="3B5E0D64" w:rsidR="00942DC7" w:rsidRPr="00BE48E3" w:rsidRDefault="00942DC7" w:rsidP="00817893">
                            <w:r w:rsidRPr="00BE48E3">
                              <w:t>2 Pitreavie Court, South Pitreavie Business Park, Dunfermline KY11 8U</w:t>
                            </w:r>
                            <w:r>
                              <w:t>U</w:t>
                            </w:r>
                          </w:p>
                          <w:p w14:paraId="018E6737" w14:textId="7D71AD96" w:rsidR="00942DC7" w:rsidRDefault="00942DC7" w:rsidP="00817893">
                            <w:pPr>
                              <w:rPr>
                                <w:sz w:val="18"/>
                              </w:rPr>
                            </w:pPr>
                            <w:proofErr w:type="spellStart"/>
                            <w:r>
                              <w:rPr>
                                <w:sz w:val="18"/>
                              </w:rPr>
                              <w:t>tel</w:t>
                            </w:r>
                            <w:proofErr w:type="spellEnd"/>
                            <w:r>
                              <w:rPr>
                                <w:sz w:val="18"/>
                              </w:rPr>
                              <w:t xml:space="preserve"> : 01383 626070</w:t>
                            </w:r>
                            <w:r>
                              <w:rPr>
                                <w:sz w:val="18"/>
                              </w:rPr>
                              <w:tab/>
                              <w:t xml:space="preserve">e-mail : </w:t>
                            </w:r>
                            <w:hyperlink r:id="rId7" w:history="1">
                              <w:r w:rsidRPr="008C7693">
                                <w:rPr>
                                  <w:rStyle w:val="Hyperlink"/>
                                  <w:sz w:val="18"/>
                                </w:rPr>
                                <w:t>enquiries@sserc.org.uk</w:t>
                              </w:r>
                            </w:hyperlink>
                            <w:r>
                              <w:rPr>
                                <w:sz w:val="18"/>
                              </w:rPr>
                              <w:tab/>
                            </w:r>
                            <w:r>
                              <w:rPr>
                                <w:sz w:val="18"/>
                              </w:rPr>
                              <w:tab/>
                              <w:t xml:space="preserve">web : </w:t>
                            </w:r>
                            <w:hyperlink r:id="rId8" w:history="1">
                              <w:r>
                                <w:rPr>
                                  <w:rStyle w:val="Hyperlink"/>
                                  <w:sz w:val="18"/>
                                </w:rPr>
                                <w:t>www.sserc.org.uk</w:t>
                              </w:r>
                            </w:hyperlink>
                          </w:p>
                          <w:p w14:paraId="4F1A4D78" w14:textId="77777777" w:rsidR="00942DC7" w:rsidRDefault="00942DC7" w:rsidP="00817893">
                            <w:pPr>
                              <w:jc w:val="right"/>
                              <w:rPr>
                                <w:sz w:val="18"/>
                              </w:rPr>
                            </w:pPr>
                          </w:p>
                          <w:p w14:paraId="3F1AE00B" w14:textId="77777777" w:rsidR="00942DC7" w:rsidRDefault="00942DC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21602" id="_x0000_t202" coordsize="21600,21600" o:spt="202" path="m,l,21600r21600,l21600,xe">
                <v:stroke joinstyle="miter"/>
                <v:path gradientshapeok="t" o:connecttype="rect"/>
              </v:shapetype>
              <v:shape id="Text Box 4" o:spid="_x0000_s1026" type="#_x0000_t202" style="position:absolute;margin-left:497.2pt;margin-top:.5pt;width:548.4pt;height:82.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" filled="f" fillcolor="silver" stroked="f">
                <v:textbox>
                  <w:txbxContent>
                    <w:p w14:paraId="02A9B51C" w14:textId="1C3149CB" w:rsidR="00942DC7" w:rsidRDefault="00942DC7">
                      <w:pPr>
                        <w:rPr>
                          <w:b/>
                          <w:bCs/>
                          <w:sz w:val="28"/>
                        </w:rPr>
                      </w:pPr>
                      <w:r>
                        <w:rPr>
                          <w:b/>
                          <w:bCs/>
                          <w:sz w:val="28"/>
                        </w:rPr>
                        <w:t xml:space="preserve">SSERC Risk Assessment </w:t>
                      </w:r>
                      <w:r>
                        <w:rPr>
                          <w:sz w:val="28"/>
                        </w:rPr>
                        <w:t>(revised version March 2018)</w:t>
                      </w:r>
                    </w:p>
                    <w:p w14:paraId="5DA5D14F" w14:textId="303A6B64" w:rsidR="00942DC7" w:rsidRDefault="00942DC7">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4C36AC54" w14:textId="77777777" w:rsidR="00942DC7" w:rsidRDefault="00942DC7">
                      <w:pPr>
                        <w:rPr>
                          <w:sz w:val="24"/>
                        </w:rPr>
                      </w:pPr>
                    </w:p>
                    <w:p w14:paraId="3D5B9CDD" w14:textId="3B5E0D64" w:rsidR="00942DC7" w:rsidRPr="00BE48E3" w:rsidRDefault="00942DC7" w:rsidP="00817893">
                      <w:r w:rsidRPr="00BE48E3">
                        <w:t xml:space="preserve">2 </w:t>
                      </w:r>
                      <w:proofErr w:type="spellStart"/>
                      <w:r w:rsidRPr="00BE48E3">
                        <w:t>Pitreavie</w:t>
                      </w:r>
                      <w:proofErr w:type="spellEnd"/>
                      <w:r w:rsidRPr="00BE48E3">
                        <w:t xml:space="preserve"> Court, South </w:t>
                      </w:r>
                      <w:proofErr w:type="spellStart"/>
                      <w:r w:rsidRPr="00BE48E3">
                        <w:t>Pitreavie</w:t>
                      </w:r>
                      <w:proofErr w:type="spellEnd"/>
                      <w:r w:rsidRPr="00BE48E3">
                        <w:t xml:space="preserve"> Business Park, </w:t>
                      </w:r>
                      <w:proofErr w:type="spellStart"/>
                      <w:r w:rsidRPr="00BE48E3">
                        <w:t>Dunfermline</w:t>
                      </w:r>
                      <w:proofErr w:type="spellEnd"/>
                      <w:r w:rsidRPr="00BE48E3">
                        <w:t xml:space="preserve"> KY11 8U</w:t>
                      </w:r>
                      <w:r>
                        <w:t>U</w:t>
                      </w:r>
                    </w:p>
                    <w:p w14:paraId="018E6737" w14:textId="7D71AD96" w:rsidR="00942DC7" w:rsidRDefault="00942DC7" w:rsidP="00817893">
                      <w:pPr>
                        <w:rPr>
                          <w:sz w:val="18"/>
                        </w:rPr>
                      </w:pPr>
                      <w:proofErr w:type="spellStart"/>
                      <w:r>
                        <w:rPr>
                          <w:sz w:val="18"/>
                        </w:rPr>
                        <w:t>tel</w:t>
                      </w:r>
                      <w:proofErr w:type="spellEnd"/>
                      <w:r>
                        <w:rPr>
                          <w:sz w:val="18"/>
                        </w:rPr>
                        <w:t xml:space="preserve"> : 01383 626070</w:t>
                      </w:r>
                      <w:r>
                        <w:rPr>
                          <w:sz w:val="18"/>
                        </w:rPr>
                        <w:tab/>
                        <w:t xml:space="preserve">e-mail : </w:t>
                      </w:r>
                      <w:hyperlink r:id="rId9" w:history="1">
                        <w:r w:rsidRPr="008C7693">
                          <w:rPr>
                            <w:rStyle w:val="Hyperlink"/>
                            <w:sz w:val="18"/>
                          </w:rPr>
                          <w:t>enquiries@sserc.org.uk</w:t>
                        </w:r>
                      </w:hyperlink>
                      <w:r>
                        <w:rPr>
                          <w:sz w:val="18"/>
                        </w:rPr>
                        <w:tab/>
                      </w:r>
                      <w:r>
                        <w:rPr>
                          <w:sz w:val="18"/>
                        </w:rPr>
                        <w:tab/>
                        <w:t xml:space="preserve">web : </w:t>
                      </w:r>
                      <w:hyperlink r:id="rId10" w:history="1">
                        <w:r>
                          <w:rPr>
                            <w:rStyle w:val="Hyperlink"/>
                            <w:sz w:val="18"/>
                          </w:rPr>
                          <w:t>www.sserc.org.uk</w:t>
                        </w:r>
                      </w:hyperlink>
                    </w:p>
                    <w:p w14:paraId="4F1A4D78" w14:textId="77777777" w:rsidR="00942DC7" w:rsidRDefault="00942DC7" w:rsidP="00817893">
                      <w:pPr>
                        <w:jc w:val="right"/>
                        <w:rPr>
                          <w:sz w:val="18"/>
                        </w:rPr>
                      </w:pPr>
                    </w:p>
                    <w:p w14:paraId="3F1AE00B" w14:textId="77777777" w:rsidR="00942DC7" w:rsidRDefault="00942DC7">
                      <w:pPr>
                        <w:rPr>
                          <w:sz w:val="24"/>
                        </w:rPr>
                      </w:pPr>
                    </w:p>
                  </w:txbxContent>
                </v:textbox>
                <w10:wrap anchorx="margin"/>
              </v:shape>
            </w:pict>
          </mc:Fallback>
        </mc:AlternateContent>
      </w:r>
      <w:r w:rsidR="00BD0600">
        <w:rPr>
          <w:noProof/>
          <w:sz w:val="24"/>
        </w:rPr>
        <w:drawing>
          <wp:inline distT="0" distB="0" distL="0" distR="0" wp14:anchorId="0AD423EC" wp14:editId="0D6B4C71">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0350BCF3" w14:textId="77777777" w:rsidR="00817893" w:rsidRDefault="00817893" w:rsidP="00817893">
      <w:pPr>
        <w:pStyle w:val="Heading1"/>
        <w:rPr>
          <w:sz w:val="24"/>
        </w:rPr>
      </w:pPr>
    </w:p>
    <w:p w14:paraId="4B6D6BB3" w14:textId="77777777" w:rsidR="00817893" w:rsidRDefault="00817893" w:rsidP="00817893">
      <w:pPr>
        <w:pStyle w:val="Heading1"/>
        <w:rPr>
          <w:sz w:val="24"/>
        </w:rPr>
      </w:pPr>
    </w:p>
    <w:p w14:paraId="3FC99F6D" w14:textId="77777777" w:rsidR="007E6326" w:rsidRDefault="007E6326">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7E6326" w14:paraId="559B284A" w14:textId="77777777">
        <w:tc>
          <w:tcPr>
            <w:tcW w:w="3085" w:type="dxa"/>
          </w:tcPr>
          <w:p w14:paraId="34F5EA92" w14:textId="77777777" w:rsidR="007E6326" w:rsidRDefault="007E6326">
            <w:pPr>
              <w:pStyle w:val="Heading6"/>
            </w:pPr>
            <w:r>
              <w:t>Activity assessed</w:t>
            </w:r>
          </w:p>
        </w:tc>
        <w:tc>
          <w:tcPr>
            <w:tcW w:w="5843" w:type="dxa"/>
          </w:tcPr>
          <w:p w14:paraId="5934B1F0" w14:textId="3ECC6DC9" w:rsidR="007E6326" w:rsidRDefault="005C1AE5">
            <w:r>
              <w:t>Methane Bubbles</w:t>
            </w:r>
          </w:p>
        </w:tc>
      </w:tr>
      <w:tr w:rsidR="007E6326" w14:paraId="09463585" w14:textId="77777777">
        <w:tc>
          <w:tcPr>
            <w:tcW w:w="3085" w:type="dxa"/>
          </w:tcPr>
          <w:p w14:paraId="3C65927F" w14:textId="77777777" w:rsidR="007E6326" w:rsidRDefault="007E6326">
            <w:pPr>
              <w:rPr>
                <w:i/>
                <w:iCs/>
              </w:rPr>
            </w:pPr>
            <w:r>
              <w:rPr>
                <w:i/>
                <w:iCs/>
              </w:rPr>
              <w:t>Date of assessment</w:t>
            </w:r>
          </w:p>
        </w:tc>
        <w:tc>
          <w:tcPr>
            <w:tcW w:w="5843" w:type="dxa"/>
          </w:tcPr>
          <w:p w14:paraId="1FB1F665" w14:textId="081E5795" w:rsidR="007E6326" w:rsidRDefault="005C1AE5">
            <w:r>
              <w:t>10</w:t>
            </w:r>
            <w:r w:rsidRPr="005C1AE5">
              <w:rPr>
                <w:vertAlign w:val="superscript"/>
              </w:rPr>
              <w:t>th</w:t>
            </w:r>
            <w:r>
              <w:t xml:space="preserve"> January 2018</w:t>
            </w:r>
          </w:p>
        </w:tc>
      </w:tr>
      <w:tr w:rsidR="007E6326" w14:paraId="1C1C7C18" w14:textId="77777777">
        <w:tc>
          <w:tcPr>
            <w:tcW w:w="3085" w:type="dxa"/>
          </w:tcPr>
          <w:p w14:paraId="657FE4F7" w14:textId="77777777" w:rsidR="007E6326" w:rsidRDefault="007E6326">
            <w:pPr>
              <w:rPr>
                <w:i/>
                <w:iCs/>
              </w:rPr>
            </w:pPr>
            <w:r>
              <w:rPr>
                <w:i/>
                <w:iCs/>
              </w:rPr>
              <w:t>Date of review</w:t>
            </w:r>
            <w:r w:rsidR="00692100">
              <w:rPr>
                <w:i/>
                <w:iCs/>
              </w:rPr>
              <w:t xml:space="preserve"> (</w:t>
            </w:r>
            <w:r w:rsidR="00692100" w:rsidRPr="00692100">
              <w:rPr>
                <w:b/>
                <w:i/>
                <w:iCs/>
              </w:rPr>
              <w:t>Step 5</w:t>
            </w:r>
            <w:r w:rsidR="00692100">
              <w:rPr>
                <w:i/>
                <w:iCs/>
              </w:rPr>
              <w:t>)</w:t>
            </w:r>
          </w:p>
        </w:tc>
        <w:tc>
          <w:tcPr>
            <w:tcW w:w="5843" w:type="dxa"/>
          </w:tcPr>
          <w:p w14:paraId="767FB3AA" w14:textId="77777777" w:rsidR="007E6326" w:rsidRDefault="007E6326">
            <w:pPr>
              <w:pStyle w:val="Salutation"/>
            </w:pPr>
          </w:p>
        </w:tc>
      </w:tr>
      <w:tr w:rsidR="007E6326" w14:paraId="006A6703" w14:textId="77777777">
        <w:tc>
          <w:tcPr>
            <w:tcW w:w="3085" w:type="dxa"/>
          </w:tcPr>
          <w:p w14:paraId="0BD15799" w14:textId="77777777" w:rsidR="007E6326" w:rsidRDefault="007E6326">
            <w:pPr>
              <w:rPr>
                <w:i/>
                <w:iCs/>
              </w:rPr>
            </w:pPr>
            <w:r>
              <w:rPr>
                <w:i/>
                <w:iCs/>
              </w:rPr>
              <w:t>School</w:t>
            </w:r>
          </w:p>
        </w:tc>
        <w:tc>
          <w:tcPr>
            <w:tcW w:w="5843" w:type="dxa"/>
          </w:tcPr>
          <w:p w14:paraId="791A48DE" w14:textId="77777777" w:rsidR="007E6326" w:rsidRDefault="007E6326">
            <w:pPr>
              <w:pStyle w:val="Salutation"/>
            </w:pPr>
          </w:p>
        </w:tc>
      </w:tr>
      <w:tr w:rsidR="007E6326" w14:paraId="59FFB16F" w14:textId="77777777">
        <w:tc>
          <w:tcPr>
            <w:tcW w:w="3085" w:type="dxa"/>
          </w:tcPr>
          <w:p w14:paraId="0CFE8308" w14:textId="77777777" w:rsidR="007E6326" w:rsidRDefault="007E6326">
            <w:pPr>
              <w:rPr>
                <w:i/>
                <w:iCs/>
              </w:rPr>
            </w:pPr>
            <w:r>
              <w:rPr>
                <w:i/>
                <w:iCs/>
              </w:rPr>
              <w:t>Department</w:t>
            </w:r>
          </w:p>
        </w:tc>
        <w:tc>
          <w:tcPr>
            <w:tcW w:w="5843" w:type="dxa"/>
          </w:tcPr>
          <w:p w14:paraId="1AF59271" w14:textId="77777777" w:rsidR="007E6326" w:rsidRDefault="007E6326"/>
        </w:tc>
      </w:tr>
    </w:tbl>
    <w:p w14:paraId="4146D03F" w14:textId="77777777" w:rsidR="007E6326" w:rsidRDefault="007E6326"/>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0"/>
        <w:gridCol w:w="2551"/>
        <w:gridCol w:w="6237"/>
        <w:gridCol w:w="1134"/>
        <w:gridCol w:w="993"/>
        <w:gridCol w:w="708"/>
      </w:tblGrid>
      <w:tr w:rsidR="00692100" w14:paraId="629A4FEF" w14:textId="77777777" w:rsidTr="00B22648">
        <w:trPr>
          <w:tblHeader/>
        </w:trPr>
        <w:tc>
          <w:tcPr>
            <w:tcW w:w="2660" w:type="dxa"/>
            <w:shd w:val="clear" w:color="auto" w:fill="C45911" w:themeFill="accent2" w:themeFillShade="BF"/>
          </w:tcPr>
          <w:p w14:paraId="54AFC5AC" w14:textId="77777777" w:rsidR="00692100" w:rsidRDefault="00692100">
            <w:pPr>
              <w:jc w:val="center"/>
              <w:rPr>
                <w:sz w:val="28"/>
              </w:rPr>
            </w:pPr>
            <w:r>
              <w:rPr>
                <w:sz w:val="28"/>
              </w:rPr>
              <w:t>Step 1</w:t>
            </w:r>
          </w:p>
        </w:tc>
        <w:tc>
          <w:tcPr>
            <w:tcW w:w="2551" w:type="dxa"/>
            <w:shd w:val="clear" w:color="auto" w:fill="C45911" w:themeFill="accent2" w:themeFillShade="BF"/>
          </w:tcPr>
          <w:p w14:paraId="763F2794" w14:textId="77777777" w:rsidR="00692100" w:rsidRDefault="00692100">
            <w:pPr>
              <w:jc w:val="center"/>
              <w:rPr>
                <w:sz w:val="28"/>
              </w:rPr>
            </w:pPr>
            <w:r>
              <w:rPr>
                <w:sz w:val="28"/>
              </w:rPr>
              <w:t>Step 2</w:t>
            </w:r>
          </w:p>
        </w:tc>
        <w:tc>
          <w:tcPr>
            <w:tcW w:w="6237" w:type="dxa"/>
            <w:shd w:val="clear" w:color="auto" w:fill="C45911" w:themeFill="accent2" w:themeFillShade="BF"/>
          </w:tcPr>
          <w:p w14:paraId="6FDE5FA2" w14:textId="77777777" w:rsidR="00692100" w:rsidRDefault="00692100">
            <w:pPr>
              <w:jc w:val="center"/>
              <w:rPr>
                <w:sz w:val="28"/>
              </w:rPr>
            </w:pPr>
            <w:r>
              <w:rPr>
                <w:sz w:val="28"/>
              </w:rPr>
              <w:t>Step 3</w:t>
            </w:r>
          </w:p>
        </w:tc>
        <w:tc>
          <w:tcPr>
            <w:tcW w:w="2835" w:type="dxa"/>
            <w:gridSpan w:val="3"/>
            <w:shd w:val="clear" w:color="auto" w:fill="C45911" w:themeFill="accent2" w:themeFillShade="BF"/>
          </w:tcPr>
          <w:p w14:paraId="4107C841" w14:textId="77777777" w:rsidR="00692100" w:rsidRDefault="00692100">
            <w:pPr>
              <w:jc w:val="center"/>
              <w:rPr>
                <w:sz w:val="28"/>
              </w:rPr>
            </w:pPr>
            <w:r>
              <w:rPr>
                <w:sz w:val="28"/>
              </w:rPr>
              <w:t>Step 4</w:t>
            </w:r>
          </w:p>
        </w:tc>
      </w:tr>
      <w:tr w:rsidR="00B22648" w14:paraId="0286649B" w14:textId="77777777" w:rsidTr="00B22648">
        <w:trPr>
          <w:tblHeader/>
        </w:trPr>
        <w:tc>
          <w:tcPr>
            <w:tcW w:w="2660" w:type="dxa"/>
            <w:vMerge w:val="restart"/>
            <w:shd w:val="clear" w:color="auto" w:fill="F4B083" w:themeFill="accent2" w:themeFillTint="99"/>
          </w:tcPr>
          <w:p w14:paraId="26BBF421" w14:textId="2B9F0CD2" w:rsidR="00B22648" w:rsidRDefault="00B22648" w:rsidP="005144F5">
            <w:pPr>
              <w:pStyle w:val="Salutation"/>
              <w:rPr>
                <w:sz w:val="28"/>
              </w:rPr>
            </w:pPr>
            <w:r>
              <w:rPr>
                <w:i/>
                <w:iCs/>
              </w:rPr>
              <w:t>List Significant hazards here:</w:t>
            </w:r>
          </w:p>
        </w:tc>
        <w:tc>
          <w:tcPr>
            <w:tcW w:w="2551" w:type="dxa"/>
            <w:vMerge w:val="restart"/>
            <w:shd w:val="clear" w:color="auto" w:fill="F4B083" w:themeFill="accent2" w:themeFillTint="99"/>
          </w:tcPr>
          <w:p w14:paraId="13915BD3" w14:textId="3A285207" w:rsidR="00B22648" w:rsidRDefault="00B22648" w:rsidP="005144F5">
            <w:pPr>
              <w:rPr>
                <w:sz w:val="28"/>
              </w:rPr>
            </w:pPr>
            <w:r>
              <w:rPr>
                <w:i/>
                <w:iCs/>
              </w:rPr>
              <w:t>Who might be harmed and how?</w:t>
            </w:r>
          </w:p>
        </w:tc>
        <w:tc>
          <w:tcPr>
            <w:tcW w:w="6237" w:type="dxa"/>
            <w:vMerge w:val="restart"/>
            <w:shd w:val="clear" w:color="auto" w:fill="F4B083" w:themeFill="accent2" w:themeFillTint="99"/>
          </w:tcPr>
          <w:p w14:paraId="74BC7D5B" w14:textId="77777777" w:rsidR="00B22648" w:rsidRDefault="00B22648">
            <w:pPr>
              <w:rPr>
                <w:i/>
                <w:iCs/>
              </w:rPr>
            </w:pPr>
            <w:r>
              <w:rPr>
                <w:i/>
                <w:iCs/>
              </w:rPr>
              <w:t>What are you already doing?</w:t>
            </w:r>
          </w:p>
          <w:p w14:paraId="4A7C6C38" w14:textId="141C5010" w:rsidR="00B22648" w:rsidRPr="00B22648" w:rsidRDefault="00B22648" w:rsidP="005144F5">
            <w:pPr>
              <w:rPr>
                <w:i/>
                <w:iCs/>
              </w:rPr>
            </w:pPr>
            <w:r>
              <w:rPr>
                <w:i/>
                <w:iCs/>
              </w:rPr>
              <w:t>What further action is needed?</w:t>
            </w:r>
          </w:p>
        </w:tc>
        <w:tc>
          <w:tcPr>
            <w:tcW w:w="2835" w:type="dxa"/>
            <w:gridSpan w:val="3"/>
            <w:shd w:val="clear" w:color="auto" w:fill="F4B083" w:themeFill="accent2" w:themeFillTint="99"/>
          </w:tcPr>
          <w:p w14:paraId="22506D86" w14:textId="11B499C3" w:rsidR="00B22648" w:rsidRPr="00B22648" w:rsidRDefault="00B22648" w:rsidP="00B22648">
            <w:pPr>
              <w:jc w:val="center"/>
              <w:rPr>
                <w:i/>
                <w:iCs/>
              </w:rPr>
            </w:pPr>
            <w:r w:rsidRPr="00B22648">
              <w:rPr>
                <w:i/>
                <w:iCs/>
              </w:rPr>
              <w:t>Actions</w:t>
            </w:r>
          </w:p>
        </w:tc>
      </w:tr>
      <w:tr w:rsidR="00B22648" w14:paraId="16443627" w14:textId="77777777" w:rsidTr="00B22648">
        <w:trPr>
          <w:trHeight w:val="344"/>
        </w:trPr>
        <w:tc>
          <w:tcPr>
            <w:tcW w:w="2660" w:type="dxa"/>
            <w:vMerge/>
            <w:shd w:val="clear" w:color="auto" w:fill="F4B083" w:themeFill="accent2" w:themeFillTint="99"/>
          </w:tcPr>
          <w:p w14:paraId="54F97A5C" w14:textId="39667B90" w:rsidR="00B22648" w:rsidRDefault="00B22648">
            <w:pPr>
              <w:pStyle w:val="Salutation"/>
              <w:rPr>
                <w:i/>
                <w:iCs/>
              </w:rPr>
            </w:pPr>
          </w:p>
        </w:tc>
        <w:tc>
          <w:tcPr>
            <w:tcW w:w="2551" w:type="dxa"/>
            <w:vMerge/>
            <w:shd w:val="clear" w:color="auto" w:fill="F4B083" w:themeFill="accent2" w:themeFillTint="99"/>
          </w:tcPr>
          <w:p w14:paraId="01D802E7" w14:textId="6F23595E" w:rsidR="00B22648" w:rsidRDefault="00B22648">
            <w:pPr>
              <w:rPr>
                <w:i/>
                <w:iCs/>
              </w:rPr>
            </w:pPr>
          </w:p>
        </w:tc>
        <w:tc>
          <w:tcPr>
            <w:tcW w:w="6237" w:type="dxa"/>
            <w:vMerge/>
            <w:shd w:val="clear" w:color="auto" w:fill="F4B083" w:themeFill="accent2" w:themeFillTint="99"/>
          </w:tcPr>
          <w:p w14:paraId="56F40579" w14:textId="67176F36" w:rsidR="00B22648" w:rsidRDefault="00B22648">
            <w:pPr>
              <w:rPr>
                <w:i/>
                <w:iCs/>
              </w:rPr>
            </w:pPr>
          </w:p>
        </w:tc>
        <w:tc>
          <w:tcPr>
            <w:tcW w:w="1134" w:type="dxa"/>
            <w:shd w:val="clear" w:color="auto" w:fill="F4B083" w:themeFill="accent2" w:themeFillTint="99"/>
          </w:tcPr>
          <w:p w14:paraId="397B79D1" w14:textId="50ADA5E1" w:rsidR="00B22648" w:rsidRDefault="00B22648">
            <w:pPr>
              <w:rPr>
                <w:i/>
                <w:iCs/>
              </w:rPr>
            </w:pPr>
            <w:r>
              <w:rPr>
                <w:i/>
                <w:iCs/>
              </w:rPr>
              <w:t>by whom?</w:t>
            </w:r>
          </w:p>
        </w:tc>
        <w:tc>
          <w:tcPr>
            <w:tcW w:w="993" w:type="dxa"/>
            <w:shd w:val="clear" w:color="auto" w:fill="F4B083" w:themeFill="accent2" w:themeFillTint="99"/>
          </w:tcPr>
          <w:p w14:paraId="50FD14DA" w14:textId="3DA9487E" w:rsidR="00B22648" w:rsidRDefault="00B22648">
            <w:pPr>
              <w:rPr>
                <w:i/>
                <w:iCs/>
              </w:rPr>
            </w:pPr>
            <w:r>
              <w:rPr>
                <w:i/>
                <w:iCs/>
              </w:rPr>
              <w:t>Due date</w:t>
            </w:r>
          </w:p>
        </w:tc>
        <w:tc>
          <w:tcPr>
            <w:tcW w:w="708" w:type="dxa"/>
            <w:shd w:val="clear" w:color="auto" w:fill="F4B083" w:themeFill="accent2" w:themeFillTint="99"/>
          </w:tcPr>
          <w:p w14:paraId="1815C571" w14:textId="77777777" w:rsidR="00B22648" w:rsidRDefault="00B22648">
            <w:pPr>
              <w:rPr>
                <w:i/>
                <w:iCs/>
              </w:rPr>
            </w:pPr>
            <w:r>
              <w:rPr>
                <w:i/>
                <w:iCs/>
              </w:rPr>
              <w:t>Done</w:t>
            </w:r>
          </w:p>
        </w:tc>
      </w:tr>
      <w:tr w:rsidR="005144F5" w14:paraId="157DF7B3" w14:textId="77777777" w:rsidTr="00B22648">
        <w:trPr>
          <w:trHeight w:val="709"/>
        </w:trPr>
        <w:tc>
          <w:tcPr>
            <w:tcW w:w="2660" w:type="dxa"/>
          </w:tcPr>
          <w:p w14:paraId="476922B5" w14:textId="24A91C3F" w:rsidR="005144F5" w:rsidRDefault="005144F5" w:rsidP="005144F5">
            <w:r>
              <w:t>Methane bubbles are highly flammable and there is a danger of burn back</w:t>
            </w:r>
          </w:p>
          <w:p w14:paraId="51DE2F30" w14:textId="77777777" w:rsidR="005144F5" w:rsidRDefault="005144F5" w:rsidP="005144F5"/>
        </w:tc>
        <w:tc>
          <w:tcPr>
            <w:tcW w:w="2551" w:type="dxa"/>
          </w:tcPr>
          <w:p w14:paraId="6A794FDA" w14:textId="77777777" w:rsidR="005144F5" w:rsidRDefault="005144F5" w:rsidP="005144F5">
            <w:r>
              <w:t>Demonstrator / Audience</w:t>
            </w:r>
          </w:p>
          <w:p w14:paraId="4AF96092" w14:textId="77777777" w:rsidR="005144F5" w:rsidRDefault="005144F5" w:rsidP="005144F5"/>
          <w:p w14:paraId="2A74D5B9" w14:textId="77777777" w:rsidR="005144F5" w:rsidRDefault="005144F5" w:rsidP="005144F5"/>
          <w:p w14:paraId="53C5270B" w14:textId="77777777" w:rsidR="005144F5" w:rsidRDefault="005144F5" w:rsidP="005144F5"/>
        </w:tc>
        <w:tc>
          <w:tcPr>
            <w:tcW w:w="6237" w:type="dxa"/>
          </w:tcPr>
          <w:p w14:paraId="5F37E4C2" w14:textId="77777777" w:rsidR="005144F5" w:rsidRDefault="005144F5" w:rsidP="005144F5">
            <w:r>
              <w:t xml:space="preserve">Turn off gas supply before igniting methane foam. </w:t>
            </w:r>
          </w:p>
          <w:p w14:paraId="7E4FDC69" w14:textId="77777777" w:rsidR="005144F5" w:rsidRDefault="005144F5" w:rsidP="005144F5"/>
          <w:p w14:paraId="4D77AC55" w14:textId="3BBD7B5F" w:rsidR="005144F5" w:rsidRDefault="005144F5" w:rsidP="005144F5">
            <w:r>
              <w:t>Appropriate eye protection should be worn.</w:t>
            </w:r>
          </w:p>
        </w:tc>
        <w:tc>
          <w:tcPr>
            <w:tcW w:w="1134" w:type="dxa"/>
          </w:tcPr>
          <w:p w14:paraId="4313F2B6" w14:textId="77777777" w:rsidR="005144F5" w:rsidRDefault="005144F5" w:rsidP="005144F5"/>
        </w:tc>
        <w:tc>
          <w:tcPr>
            <w:tcW w:w="993" w:type="dxa"/>
          </w:tcPr>
          <w:p w14:paraId="6F5305D6" w14:textId="77777777" w:rsidR="005144F5" w:rsidRDefault="005144F5" w:rsidP="005144F5"/>
        </w:tc>
        <w:tc>
          <w:tcPr>
            <w:tcW w:w="708" w:type="dxa"/>
          </w:tcPr>
          <w:p w14:paraId="5F13CBCA" w14:textId="77777777" w:rsidR="005144F5" w:rsidRDefault="005144F5" w:rsidP="005144F5"/>
        </w:tc>
      </w:tr>
      <w:tr w:rsidR="005144F5" w14:paraId="1E69FFC9" w14:textId="77777777" w:rsidTr="00B22648">
        <w:trPr>
          <w:trHeight w:val="718"/>
        </w:trPr>
        <w:tc>
          <w:tcPr>
            <w:tcW w:w="2660" w:type="dxa"/>
          </w:tcPr>
          <w:p w14:paraId="1C945669" w14:textId="35E8C629" w:rsidR="005144F5" w:rsidRDefault="00260121" w:rsidP="005144F5">
            <w:r>
              <w:t>Burning methane bubbles can burn skin and set light to hair or clothing.</w:t>
            </w:r>
          </w:p>
        </w:tc>
        <w:tc>
          <w:tcPr>
            <w:tcW w:w="2551" w:type="dxa"/>
          </w:tcPr>
          <w:p w14:paraId="01C3BF75" w14:textId="06E0BCAD" w:rsidR="005144F5" w:rsidRDefault="00260121" w:rsidP="005144F5">
            <w:r>
              <w:t>Demonstrator / audience</w:t>
            </w:r>
          </w:p>
        </w:tc>
        <w:tc>
          <w:tcPr>
            <w:tcW w:w="6237" w:type="dxa"/>
          </w:tcPr>
          <w:p w14:paraId="1E210B3A" w14:textId="77777777" w:rsidR="005144F5" w:rsidRPr="00375EE8" w:rsidRDefault="00260121" w:rsidP="005144F5">
            <w:pPr>
              <w:rPr>
                <w:vanish/>
                <w:specVanish/>
              </w:rPr>
            </w:pPr>
            <w:r>
              <w:t>Demonstrator should make sure hands are wetted and that bubbles are, as far as possible, removed from beneath the hand(s).</w:t>
            </w:r>
          </w:p>
          <w:p w14:paraId="13C32070" w14:textId="77777777" w:rsidR="00375EE8" w:rsidRDefault="00375EE8" w:rsidP="005144F5">
            <w:r>
              <w:t xml:space="preserve"> </w:t>
            </w:r>
          </w:p>
          <w:p w14:paraId="49A05670" w14:textId="77777777" w:rsidR="00375EE8" w:rsidRDefault="00375EE8" w:rsidP="005144F5"/>
          <w:p w14:paraId="511B7303" w14:textId="3FC026E1" w:rsidR="00260121" w:rsidRPr="00375EE8" w:rsidRDefault="00260121" w:rsidP="005144F5">
            <w:pPr>
              <w:rPr>
                <w:vanish/>
                <w:specVanish/>
              </w:rPr>
            </w:pPr>
            <w:r>
              <w:t>Demonstrator should hold hand(s) out at arm</w:t>
            </w:r>
            <w:r w:rsidR="00225AD6">
              <w:t>’</w:t>
            </w:r>
            <w:r>
              <w:t>s length with the hands flat and parallel to the ground.</w:t>
            </w:r>
          </w:p>
          <w:p w14:paraId="312D656B" w14:textId="77777777" w:rsidR="00375EE8" w:rsidRDefault="00375EE8" w:rsidP="005144F5">
            <w:r>
              <w:t xml:space="preserve"> </w:t>
            </w:r>
          </w:p>
          <w:p w14:paraId="36903F82" w14:textId="77777777" w:rsidR="00375EE8" w:rsidRDefault="00375EE8" w:rsidP="005144F5"/>
          <w:p w14:paraId="4D949FA7" w14:textId="1A250ADC" w:rsidR="00260121" w:rsidRDefault="00260121" w:rsidP="005144F5">
            <w:r>
              <w:t>Any loose clothing or hair should be tie</w:t>
            </w:r>
            <w:r w:rsidR="00375EE8">
              <w:t>d</w:t>
            </w:r>
            <w:r>
              <w:t xml:space="preserve"> back or otherwise secure to remove the possibility of it contacting the flame.</w:t>
            </w:r>
          </w:p>
        </w:tc>
        <w:tc>
          <w:tcPr>
            <w:tcW w:w="1134" w:type="dxa"/>
          </w:tcPr>
          <w:p w14:paraId="5DA37EF7" w14:textId="77777777" w:rsidR="005144F5" w:rsidRDefault="005144F5" w:rsidP="005144F5"/>
        </w:tc>
        <w:tc>
          <w:tcPr>
            <w:tcW w:w="993" w:type="dxa"/>
          </w:tcPr>
          <w:p w14:paraId="644AB89F" w14:textId="77777777" w:rsidR="005144F5" w:rsidRDefault="005144F5" w:rsidP="005144F5"/>
        </w:tc>
        <w:tc>
          <w:tcPr>
            <w:tcW w:w="708" w:type="dxa"/>
          </w:tcPr>
          <w:p w14:paraId="2199A55F" w14:textId="77777777" w:rsidR="005144F5" w:rsidRDefault="005144F5" w:rsidP="005144F5"/>
        </w:tc>
      </w:tr>
      <w:tr w:rsidR="005144F5" w14:paraId="5C90AA72" w14:textId="77777777" w:rsidTr="00B22648">
        <w:trPr>
          <w:trHeight w:val="718"/>
        </w:trPr>
        <w:tc>
          <w:tcPr>
            <w:tcW w:w="2660" w:type="dxa"/>
          </w:tcPr>
          <w:p w14:paraId="6386866D" w14:textId="77777777" w:rsidR="005144F5" w:rsidRDefault="005144F5" w:rsidP="005144F5"/>
        </w:tc>
        <w:tc>
          <w:tcPr>
            <w:tcW w:w="2551" w:type="dxa"/>
          </w:tcPr>
          <w:p w14:paraId="3ADFFD95" w14:textId="77777777" w:rsidR="005144F5" w:rsidRDefault="005144F5" w:rsidP="005144F5"/>
        </w:tc>
        <w:tc>
          <w:tcPr>
            <w:tcW w:w="6237" w:type="dxa"/>
          </w:tcPr>
          <w:p w14:paraId="3E100BE1" w14:textId="77777777" w:rsidR="005144F5" w:rsidRDefault="005144F5" w:rsidP="005144F5"/>
        </w:tc>
        <w:tc>
          <w:tcPr>
            <w:tcW w:w="1134" w:type="dxa"/>
          </w:tcPr>
          <w:p w14:paraId="2BBE75C7" w14:textId="77777777" w:rsidR="005144F5" w:rsidRDefault="005144F5" w:rsidP="005144F5"/>
        </w:tc>
        <w:tc>
          <w:tcPr>
            <w:tcW w:w="993" w:type="dxa"/>
          </w:tcPr>
          <w:p w14:paraId="44B9106F" w14:textId="77777777" w:rsidR="005144F5" w:rsidRDefault="005144F5" w:rsidP="005144F5"/>
        </w:tc>
        <w:tc>
          <w:tcPr>
            <w:tcW w:w="708" w:type="dxa"/>
          </w:tcPr>
          <w:p w14:paraId="0AB8548F" w14:textId="77777777" w:rsidR="005144F5" w:rsidRDefault="005144F5" w:rsidP="005144F5"/>
        </w:tc>
      </w:tr>
      <w:tr w:rsidR="005144F5" w14:paraId="4D648AD6" w14:textId="77777777" w:rsidTr="00B22648">
        <w:trPr>
          <w:trHeight w:val="718"/>
        </w:trPr>
        <w:tc>
          <w:tcPr>
            <w:tcW w:w="2660" w:type="dxa"/>
          </w:tcPr>
          <w:p w14:paraId="34E7AF9B" w14:textId="77777777" w:rsidR="005144F5" w:rsidRDefault="005144F5" w:rsidP="005144F5"/>
        </w:tc>
        <w:tc>
          <w:tcPr>
            <w:tcW w:w="2551" w:type="dxa"/>
          </w:tcPr>
          <w:p w14:paraId="37489F22" w14:textId="77777777" w:rsidR="005144F5" w:rsidRDefault="005144F5" w:rsidP="005144F5"/>
        </w:tc>
        <w:tc>
          <w:tcPr>
            <w:tcW w:w="6237" w:type="dxa"/>
          </w:tcPr>
          <w:p w14:paraId="780D9C50" w14:textId="77777777" w:rsidR="005144F5" w:rsidRDefault="005144F5" w:rsidP="005144F5"/>
        </w:tc>
        <w:tc>
          <w:tcPr>
            <w:tcW w:w="1134" w:type="dxa"/>
          </w:tcPr>
          <w:p w14:paraId="589AA9CC" w14:textId="77777777" w:rsidR="005144F5" w:rsidRDefault="005144F5" w:rsidP="005144F5"/>
        </w:tc>
        <w:tc>
          <w:tcPr>
            <w:tcW w:w="993" w:type="dxa"/>
          </w:tcPr>
          <w:p w14:paraId="4070C9FB" w14:textId="77777777" w:rsidR="005144F5" w:rsidRDefault="005144F5" w:rsidP="005144F5"/>
        </w:tc>
        <w:tc>
          <w:tcPr>
            <w:tcW w:w="708" w:type="dxa"/>
          </w:tcPr>
          <w:p w14:paraId="420177FA" w14:textId="77777777" w:rsidR="005144F5" w:rsidRDefault="005144F5" w:rsidP="005144F5"/>
        </w:tc>
      </w:tr>
      <w:tr w:rsidR="005144F5" w14:paraId="68E051EE" w14:textId="77777777" w:rsidTr="00B22648">
        <w:trPr>
          <w:trHeight w:val="718"/>
        </w:trPr>
        <w:tc>
          <w:tcPr>
            <w:tcW w:w="2660" w:type="dxa"/>
          </w:tcPr>
          <w:p w14:paraId="252F057E" w14:textId="77777777" w:rsidR="005144F5" w:rsidRDefault="005144F5" w:rsidP="005144F5"/>
        </w:tc>
        <w:tc>
          <w:tcPr>
            <w:tcW w:w="2551" w:type="dxa"/>
          </w:tcPr>
          <w:p w14:paraId="17F26CC5" w14:textId="77777777" w:rsidR="005144F5" w:rsidRDefault="005144F5" w:rsidP="005144F5"/>
        </w:tc>
        <w:tc>
          <w:tcPr>
            <w:tcW w:w="6237" w:type="dxa"/>
          </w:tcPr>
          <w:p w14:paraId="4A438BAC" w14:textId="77777777" w:rsidR="005144F5" w:rsidRDefault="005144F5" w:rsidP="005144F5"/>
        </w:tc>
        <w:tc>
          <w:tcPr>
            <w:tcW w:w="1134" w:type="dxa"/>
          </w:tcPr>
          <w:p w14:paraId="137A7C7E" w14:textId="77777777" w:rsidR="005144F5" w:rsidRDefault="005144F5" w:rsidP="005144F5"/>
        </w:tc>
        <w:tc>
          <w:tcPr>
            <w:tcW w:w="993" w:type="dxa"/>
          </w:tcPr>
          <w:p w14:paraId="5D06BA0D" w14:textId="77777777" w:rsidR="005144F5" w:rsidRDefault="005144F5" w:rsidP="005144F5"/>
        </w:tc>
        <w:tc>
          <w:tcPr>
            <w:tcW w:w="708" w:type="dxa"/>
          </w:tcPr>
          <w:p w14:paraId="661C5B1D" w14:textId="77777777" w:rsidR="005144F5" w:rsidRDefault="005144F5" w:rsidP="005144F5"/>
        </w:tc>
      </w:tr>
    </w:tbl>
    <w:p w14:paraId="73235061" w14:textId="4807F52D" w:rsidR="007E6326" w:rsidRDefault="007E6326">
      <w:pPr>
        <w:rPr>
          <w:sz w:val="28"/>
        </w:rPr>
      </w:pPr>
    </w:p>
    <w:p w14:paraId="74558B9F" w14:textId="77777777" w:rsidR="00E271F0" w:rsidRPr="00E271F0" w:rsidRDefault="00E271F0" w:rsidP="00E271F0">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7E6326" w14:paraId="0D4A27FD" w14:textId="77777777" w:rsidTr="00942DC7">
        <w:trPr>
          <w:trHeight w:val="3588"/>
        </w:trPr>
        <w:tc>
          <w:tcPr>
            <w:tcW w:w="14026" w:type="dxa"/>
          </w:tcPr>
          <w:p w14:paraId="2CCF9253" w14:textId="77777777" w:rsidR="007E6326" w:rsidRDefault="007E6326">
            <w:pPr>
              <w:rPr>
                <w:b/>
                <w:bCs/>
                <w:sz w:val="28"/>
              </w:rPr>
            </w:pPr>
            <w:r>
              <w:rPr>
                <w:b/>
                <w:bCs/>
                <w:sz w:val="28"/>
              </w:rPr>
              <w:lastRenderedPageBreak/>
              <w:t>Description of activity:</w:t>
            </w:r>
          </w:p>
          <w:p w14:paraId="3140DD7D" w14:textId="77777777" w:rsidR="007E6326" w:rsidRDefault="007E6326"/>
          <w:p w14:paraId="207DC7B3" w14:textId="77777777" w:rsidR="005144F5" w:rsidRDefault="005144F5" w:rsidP="005144F5">
            <w:r>
              <w:t>Methane is bubbled through a soap solution.</w:t>
            </w:r>
          </w:p>
          <w:p w14:paraId="1462D5DA" w14:textId="77777777" w:rsidR="005144F5" w:rsidRDefault="005144F5" w:rsidP="005144F5"/>
          <w:p w14:paraId="16BA3D2C" w14:textId="77777777" w:rsidR="005144F5" w:rsidRDefault="005144F5" w:rsidP="005144F5">
            <w:r>
              <w:t>The bubbles of methane are scooped up onto the demonstrator’s hand and then ignited.</w:t>
            </w:r>
          </w:p>
          <w:p w14:paraId="278B8FCB" w14:textId="77777777" w:rsidR="00375EE8" w:rsidRDefault="00375EE8" w:rsidP="005144F5"/>
          <w:p w14:paraId="322D4202" w14:textId="3773B588" w:rsidR="00375EE8" w:rsidRDefault="00375EE8" w:rsidP="005144F5">
            <w:r>
              <w:t>The methane burns quickly and this, along with the fact that it is less dense than air and the heat from the flames rises means that if done carefully there will barely be any feeling of heat in the hands, let alone burns.</w:t>
            </w:r>
          </w:p>
        </w:tc>
      </w:tr>
    </w:tbl>
    <w:p w14:paraId="70ECBF8B" w14:textId="77777777" w:rsidR="007E6326" w:rsidRDefault="007E6326">
      <w:pPr>
        <w:rPr>
          <w:sz w:val="28"/>
        </w:rPr>
      </w:pPr>
    </w:p>
    <w:p w14:paraId="457D1EE6" w14:textId="77777777" w:rsidR="00817893" w:rsidRDefault="00817893">
      <w:pPr>
        <w:rPr>
          <w:sz w:val="28"/>
        </w:rPr>
      </w:pPr>
    </w:p>
    <w:p w14:paraId="6C172A81" w14:textId="77777777" w:rsidR="00817893" w:rsidRDefault="00817893">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7E6326" w14:paraId="0E007722" w14:textId="77777777" w:rsidTr="00692100">
        <w:trPr>
          <w:trHeight w:val="2509"/>
        </w:trPr>
        <w:tc>
          <w:tcPr>
            <w:tcW w:w="14835" w:type="dxa"/>
          </w:tcPr>
          <w:p w14:paraId="59901EFF" w14:textId="77777777" w:rsidR="007E6326" w:rsidRDefault="007E6326">
            <w:pPr>
              <w:rPr>
                <w:b/>
                <w:bCs/>
                <w:sz w:val="28"/>
              </w:rPr>
            </w:pPr>
            <w:r>
              <w:rPr>
                <w:b/>
                <w:bCs/>
                <w:sz w:val="28"/>
              </w:rPr>
              <w:t>Additional comments:</w:t>
            </w:r>
          </w:p>
          <w:p w14:paraId="2C6D6B94" w14:textId="77777777" w:rsidR="005C1AE5" w:rsidRDefault="005C1AE5"/>
          <w:p w14:paraId="0660E70B" w14:textId="77777777" w:rsidR="005C1AE5" w:rsidRDefault="005C1AE5">
            <w:r>
              <w:t xml:space="preserve">There will be a great temptation for teachers to allow pupils to do this experiment. In general, SSERC would recommend that this is not done. There are too many possibilities for even competent and well-behaved students to make mistakes that could result in injury. That said, </w:t>
            </w:r>
            <w:r w:rsidR="00942DC7">
              <w:t>the risk assessment is the teacher’s responsibility.</w:t>
            </w:r>
          </w:p>
          <w:p w14:paraId="2622C0EB" w14:textId="77777777" w:rsidR="00942DC7" w:rsidRDefault="00942DC7">
            <w:r>
              <w:t>A more suitable way of getting pupils involved might be to get them to ignite the bubbles on a mat or on the teacher’s hands.</w:t>
            </w:r>
          </w:p>
          <w:p w14:paraId="71D5B2F1" w14:textId="77777777" w:rsidR="00942DC7" w:rsidRDefault="00942DC7"/>
          <w:p w14:paraId="4879D433" w14:textId="77777777" w:rsidR="00942DC7" w:rsidRDefault="00942DC7">
            <w:proofErr w:type="gramStart"/>
            <w:r>
              <w:t>With the exception of</w:t>
            </w:r>
            <w:proofErr w:type="gramEnd"/>
            <w:r>
              <w:t xml:space="preserve"> hydrogen, using gases other than methane for this demonstration can be more dangerous. Anyone contemplating doing so should contact SSERC first.</w:t>
            </w:r>
          </w:p>
          <w:p w14:paraId="4FC6859B" w14:textId="31133234" w:rsidR="00375EE8" w:rsidRDefault="00375EE8"/>
        </w:tc>
      </w:tr>
    </w:tbl>
    <w:p w14:paraId="42E71570" w14:textId="77777777" w:rsidR="007E6326" w:rsidRDefault="007E6326" w:rsidP="00692100">
      <w:pPr>
        <w:rPr>
          <w:sz w:val="28"/>
        </w:rPr>
      </w:pPr>
    </w:p>
    <w:p w14:paraId="362E4B78" w14:textId="77777777" w:rsidR="00692100" w:rsidRDefault="00692100" w:rsidP="00692100">
      <w:pPr>
        <w:rPr>
          <w:sz w:val="28"/>
        </w:rPr>
      </w:pPr>
    </w:p>
    <w:sectPr w:rsidR="00692100" w:rsidSect="00817893">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FE0CE" w14:textId="77777777" w:rsidR="00942DC7" w:rsidRDefault="00942DC7">
      <w:r>
        <w:separator/>
      </w:r>
    </w:p>
  </w:endnote>
  <w:endnote w:type="continuationSeparator" w:id="0">
    <w:p w14:paraId="73834AE5" w14:textId="77777777" w:rsidR="00942DC7" w:rsidRDefault="0094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31548" w14:textId="77777777" w:rsidR="00942DC7" w:rsidRDefault="00942DC7">
      <w:r>
        <w:separator/>
      </w:r>
    </w:p>
  </w:footnote>
  <w:footnote w:type="continuationSeparator" w:id="0">
    <w:p w14:paraId="143DEE07" w14:textId="77777777" w:rsidR="00942DC7" w:rsidRDefault="00942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36370"/>
    <w:multiLevelType w:val="hybridMultilevel"/>
    <w:tmpl w:val="F47AA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textFile"/>
    <w:connectString w:val=""/>
    <w:query w:val="SELECT * FROM Y:\SOLSN\schoolsad.doc"/>
    <w:activeRecord w:val="-1"/>
    <w:odso/>
  </w:mailMerge>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24"/>
    <w:rsid w:val="000359AF"/>
    <w:rsid w:val="00195779"/>
    <w:rsid w:val="00225AD6"/>
    <w:rsid w:val="00260121"/>
    <w:rsid w:val="00375EE8"/>
    <w:rsid w:val="00445F4A"/>
    <w:rsid w:val="00452A24"/>
    <w:rsid w:val="005144F5"/>
    <w:rsid w:val="005533F8"/>
    <w:rsid w:val="005C1AE5"/>
    <w:rsid w:val="00692100"/>
    <w:rsid w:val="007E6326"/>
    <w:rsid w:val="008043D6"/>
    <w:rsid w:val="00817893"/>
    <w:rsid w:val="00942DC7"/>
    <w:rsid w:val="00B22648"/>
    <w:rsid w:val="00BD0600"/>
    <w:rsid w:val="00C55668"/>
    <w:rsid w:val="00CB5779"/>
    <w:rsid w:val="00CF2DF9"/>
    <w:rsid w:val="00E2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1F213"/>
  <w15:chartTrackingRefBased/>
  <w15:docId w15:val="{1F867307-6C89-4D11-9ABD-D9B20783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lang w:val="en-US" w:eastAsia="en-US"/>
    </w:rPr>
  </w:style>
  <w:style w:type="paragraph" w:styleId="Heading1">
    <w:name w:val="heading 1"/>
    <w:basedOn w:val="Normal"/>
    <w:next w:val="Normal"/>
    <w:qFormat/>
    <w:pPr>
      <w:keepNext/>
      <w:outlineLvl w:val="0"/>
    </w:pPr>
    <w:rPr>
      <w:rFonts w:ascii="Helvetica" w:hAnsi="Helvetica"/>
      <w:i/>
      <w:sz w:val="144"/>
    </w:rPr>
  </w:style>
  <w:style w:type="paragraph" w:styleId="Heading2">
    <w:name w:val="heading 2"/>
    <w:basedOn w:val="Normal"/>
    <w:next w:val="Normal"/>
    <w:qFormat/>
    <w:pPr>
      <w:keepNext/>
      <w:outlineLvl w:val="1"/>
    </w:pPr>
    <w:rPr>
      <w:rFonts w:ascii="Helvetica" w:hAnsi="Helvetica"/>
      <w:i/>
      <w:sz w:val="40"/>
    </w:rPr>
  </w:style>
  <w:style w:type="paragraph" w:styleId="Heading3">
    <w:name w:val="heading 3"/>
    <w:basedOn w:val="Normal"/>
    <w:next w:val="Normal"/>
    <w:qFormat/>
    <w:pPr>
      <w:keepNext/>
      <w:outlineLvl w:val="2"/>
    </w:pPr>
    <w:rPr>
      <w:rFonts w:ascii="Helvetica" w:hAnsi="Helvetica"/>
      <w:b/>
      <w:i/>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1350"/>
      <w:outlineLvl w:val="4"/>
    </w:pPr>
    <w:rPr>
      <w:b/>
    </w:rPr>
  </w:style>
  <w:style w:type="paragraph" w:styleId="Heading6">
    <w:name w:val="heading 6"/>
    <w:basedOn w:val="Normal"/>
    <w:next w:val="Normal"/>
    <w:qFormat/>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Salutation">
    <w:name w:val="Salutation"/>
    <w:basedOn w:val="Normal"/>
    <w:next w:val="Normal"/>
    <w:semiHidden/>
  </w:style>
  <w:style w:type="paragraph" w:styleId="Closing">
    <w:name w:val="Closing"/>
    <w:basedOn w:val="Normal"/>
    <w:semiHidden/>
    <w:pPr>
      <w:ind w:left="4252"/>
    </w:pPr>
  </w:style>
  <w:style w:type="paragraph" w:styleId="Date">
    <w:name w:val="Date"/>
    <w:basedOn w:val="Normal"/>
    <w:next w:val="Normal"/>
    <w:semiHidden/>
  </w:style>
  <w:style w:type="paragraph" w:customStyle="1" w:styleId="InsideAddress">
    <w:name w:val="Inside Address"/>
    <w:basedOn w:val="Normal"/>
  </w:style>
  <w:style w:type="paragraph" w:styleId="Signature">
    <w:name w:val="Signature"/>
    <w:basedOn w:val="Normal"/>
    <w:semiHidden/>
    <w:pPr>
      <w:ind w:left="4252"/>
    </w:pPr>
  </w:style>
  <w:style w:type="paragraph" w:styleId="BodyText">
    <w:name w:val="Body Text"/>
    <w:basedOn w:val="Normal"/>
    <w:semiHidden/>
    <w:pPr>
      <w:spacing w:after="12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UnresolvedMention">
    <w:name w:val="Unresolved Mention"/>
    <w:basedOn w:val="DefaultParagraphFont"/>
    <w:uiPriority w:val="99"/>
    <w:semiHidden/>
    <w:unhideWhenUsed/>
    <w:rsid w:val="001957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er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sser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sserc.org.uk" TargetMode="External"/><Relationship Id="rId4" Type="http://schemas.openxmlformats.org/officeDocument/2006/relationships/webSettings" Target="webSettings.xml"/><Relationship Id="rId9" Type="http://schemas.openxmlformats.org/officeDocument/2006/relationships/hyperlink" Target="mailto:enquiries@sse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STS</vt:lpstr>
    </vt:vector>
  </TitlesOfParts>
  <Company>SSERC</Company>
  <LinksUpToDate>false</LinksUpToDate>
  <CharactersWithSpaces>2021</CharactersWithSpaces>
  <SharedDoc>false</SharedDoc>
  <HLinks>
    <vt:vector size="12" baseType="variant">
      <vt:variant>
        <vt:i4>786504</vt:i4>
      </vt:variant>
      <vt:variant>
        <vt:i4>3</vt:i4>
      </vt:variant>
      <vt:variant>
        <vt:i4>0</vt:i4>
      </vt:variant>
      <vt:variant>
        <vt:i4>5</vt:i4>
      </vt:variant>
      <vt:variant>
        <vt:lpwstr>http://www.sserc.org.uk/</vt:lpwstr>
      </vt:variant>
      <vt:variant>
        <vt:lpwstr/>
      </vt:variant>
      <vt:variant>
        <vt:i4>6946829</vt:i4>
      </vt:variant>
      <vt:variant>
        <vt:i4>0</vt:i4>
      </vt:variant>
      <vt:variant>
        <vt:i4>0</vt:i4>
      </vt:variant>
      <vt:variant>
        <vt:i4>5</vt:i4>
      </vt:variant>
      <vt:variant>
        <vt:lpwstr>mailto:sts@sserc.org.uk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dc:title>
  <dc:subject/>
  <dc:creator>Fred Young</dc:creator>
  <cp:keywords/>
  <cp:lastModifiedBy>Chris Lloyd</cp:lastModifiedBy>
  <cp:revision>3</cp:revision>
  <cp:lastPrinted>2005-03-08T15:13:00Z</cp:lastPrinted>
  <dcterms:created xsi:type="dcterms:W3CDTF">2018-05-30T15:36:00Z</dcterms:created>
  <dcterms:modified xsi:type="dcterms:W3CDTF">2020-06-30T13:28:00Z</dcterms:modified>
</cp:coreProperties>
</file>