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B4B" w:rsidRDefault="007F2966" w:rsidP="00F935B5">
      <w:pPr>
        <w:rPr>
          <w:szCs w:val="24"/>
        </w:rPr>
      </w:pPr>
      <w:r w:rsidRPr="007F2966">
        <w:rPr>
          <w:noProof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2141148</wp:posOffset>
            </wp:positionH>
            <wp:positionV relativeFrom="paragraph">
              <wp:posOffset>-603849</wp:posOffset>
            </wp:positionV>
            <wp:extent cx="2187407" cy="828136"/>
            <wp:effectExtent l="19050" t="0" r="1905" b="0"/>
            <wp:wrapSquare wrapText="bothSides"/>
            <wp:docPr id="16" name="Picture 12" descr="SFDF_logo_2012_blue_on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DF_logo_2012_blue_on_whit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2966">
        <w:rPr>
          <w:noProof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-576173</wp:posOffset>
            </wp:positionH>
            <wp:positionV relativeFrom="paragraph">
              <wp:posOffset>-552091</wp:posOffset>
            </wp:positionV>
            <wp:extent cx="2132474" cy="655608"/>
            <wp:effectExtent l="19050" t="0" r="5080" b="0"/>
            <wp:wrapSquare wrapText="bothSides"/>
            <wp:docPr id="17" name="Picture 1" descr="Abert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ertay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6B4B">
        <w:rPr>
          <w:noProof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-603885</wp:posOffset>
            </wp:positionV>
            <wp:extent cx="1163955" cy="1017905"/>
            <wp:effectExtent l="0" t="0" r="0" b="0"/>
            <wp:wrapSquare wrapText="bothSides"/>
            <wp:docPr id="6" name="Picture 5" descr="SSERC 50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ERC 50logo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B4B" w:rsidRDefault="008D6B4B" w:rsidP="00F935B5">
      <w:pPr>
        <w:rPr>
          <w:szCs w:val="24"/>
        </w:rPr>
      </w:pPr>
    </w:p>
    <w:p w:rsidR="008D6B4B" w:rsidRDefault="008D6B4B" w:rsidP="00F935B5">
      <w:pPr>
        <w:rPr>
          <w:szCs w:val="24"/>
        </w:rPr>
      </w:pPr>
    </w:p>
    <w:p w:rsidR="008D6B4B" w:rsidRDefault="008D6B4B" w:rsidP="00F935B5">
      <w:pPr>
        <w:rPr>
          <w:szCs w:val="24"/>
        </w:rPr>
      </w:pPr>
    </w:p>
    <w:p w:rsidR="008D6B4B" w:rsidRDefault="008D6B4B" w:rsidP="00F935B5">
      <w:pPr>
        <w:rPr>
          <w:szCs w:val="24"/>
        </w:rPr>
      </w:pPr>
    </w:p>
    <w:p w:rsidR="008D6B4B" w:rsidRDefault="008D6B4B" w:rsidP="00F935B5">
      <w:pPr>
        <w:rPr>
          <w:szCs w:val="24"/>
        </w:rPr>
      </w:pPr>
    </w:p>
    <w:tbl>
      <w:tblPr>
        <w:tblpPr w:leftFromText="187" w:rightFromText="187" w:vertAnchor="page" w:horzAnchor="margin" w:tblpXSpec="right" w:tblpY="4987"/>
        <w:tblW w:w="2575" w:type="pct"/>
        <w:tblBorders>
          <w:top w:val="single" w:sz="36" w:space="0" w:color="31849B" w:themeColor="accent5" w:themeShade="BF"/>
          <w:bottom w:val="single" w:sz="36" w:space="0" w:color="31849B" w:themeColor="accent5" w:themeShade="BF"/>
          <w:insideH w:val="single" w:sz="36" w:space="0" w:color="31849B" w:themeColor="accent5" w:themeShade="BF"/>
          <w:insideV w:val="single" w:sz="36" w:space="0" w:color="7030A0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/>
      </w:tblPr>
      <w:tblGrid>
        <w:gridCol w:w="4767"/>
      </w:tblGrid>
      <w:tr w:rsidR="008D6B4B" w:rsidRPr="00B0170F" w:rsidTr="00A91F57">
        <w:tc>
          <w:tcPr>
            <w:tcW w:w="0" w:type="auto"/>
          </w:tcPr>
          <w:p w:rsidR="008D6B4B" w:rsidRPr="00B0170F" w:rsidRDefault="00D774BD" w:rsidP="00F935B5">
            <w:pPr>
              <w:rPr>
                <w:rFonts w:eastAsia="Calibri" w:cs="Times New Roman"/>
                <w:sz w:val="72"/>
                <w:szCs w:val="72"/>
              </w:rPr>
            </w:pPr>
            <w:r>
              <w:rPr>
                <w:sz w:val="72"/>
                <w:szCs w:val="72"/>
              </w:rPr>
              <w:t>Food Chemistry</w:t>
            </w:r>
          </w:p>
        </w:tc>
      </w:tr>
      <w:tr w:rsidR="008D6B4B" w:rsidRPr="00B0170F" w:rsidTr="00A91F57">
        <w:trPr>
          <w:trHeight w:val="604"/>
        </w:trPr>
        <w:tc>
          <w:tcPr>
            <w:tcW w:w="0" w:type="auto"/>
          </w:tcPr>
          <w:p w:rsidR="008D6B4B" w:rsidRPr="00B0170F" w:rsidRDefault="00397FD1" w:rsidP="00F935B5">
            <w:pPr>
              <w:rPr>
                <w:rFonts w:eastAsia="Calibri" w:cs="Times New Roman"/>
                <w:sz w:val="52"/>
                <w:szCs w:val="52"/>
              </w:rPr>
            </w:pPr>
            <w:r>
              <w:rPr>
                <w:sz w:val="52"/>
                <w:szCs w:val="52"/>
              </w:rPr>
              <w:t>Maillard reaction</w:t>
            </w:r>
          </w:p>
        </w:tc>
      </w:tr>
    </w:tbl>
    <w:p w:rsidR="008D6B4B" w:rsidRDefault="008D6B4B" w:rsidP="00F935B5">
      <w:pPr>
        <w:rPr>
          <w:szCs w:val="24"/>
        </w:rPr>
      </w:pPr>
    </w:p>
    <w:p w:rsidR="008D6B4B" w:rsidRDefault="00397FD1" w:rsidP="00F935B5">
      <w:pPr>
        <w:rPr>
          <w:szCs w:val="24"/>
        </w:rPr>
      </w:pPr>
      <w:r w:rsidRPr="00397FD1">
        <w:rPr>
          <w:noProof/>
          <w:szCs w:val="24"/>
          <w:lang w:eastAsia="en-GB"/>
        </w:rPr>
        <w:drawing>
          <wp:inline distT="0" distB="0" distL="0" distR="0">
            <wp:extent cx="2519816" cy="1562100"/>
            <wp:effectExtent l="0" t="0" r="0" b="0"/>
            <wp:docPr id="1" name="irc_mi" descr="http://www.candogseat-this.com/wp-content/uploads/2013/11/can-dogs-eat-raw-chicken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ndogseat-this.com/wp-content/uploads/2013/11/can-dogs-eat-raw-chicken-bi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16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4B" w:rsidRDefault="00397FD1" w:rsidP="00F935B5">
      <w:pPr>
        <w:rPr>
          <w:szCs w:val="24"/>
        </w:rPr>
      </w:pPr>
      <w:r w:rsidRPr="00397FD1">
        <w:rPr>
          <w:noProof/>
          <w:szCs w:val="24"/>
          <w:lang w:eastAsia="en-GB"/>
        </w:rPr>
        <w:drawing>
          <wp:inline distT="0" distB="0" distL="0" distR="0">
            <wp:extent cx="2076450" cy="1808782"/>
            <wp:effectExtent l="0" t="0" r="0" b="1270"/>
            <wp:docPr id="2" name="irc_mi" descr="http://samonlinestore.emmcollwebdevelopers.com/wp-content/uploads/2014/10/cooked-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amonlinestore.emmcollwebdevelopers.com/wp-content/uploads/2014/10/cooked-chick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0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4B" w:rsidRDefault="007F2966" w:rsidP="00F935B5">
      <w:pPr>
        <w:rPr>
          <w:szCs w:val="24"/>
        </w:rPr>
      </w:pPr>
      <w:r>
        <w:rPr>
          <w:noProof/>
          <w:szCs w:val="24"/>
          <w:lang w:eastAsia="en-GB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margin-left:34.65pt;margin-top:3.75pt;width:348.45pt;height:62.05pt;z-index:251660288" adj="0" fillcolor="#31849b [2408]" stroked="f">
            <v:fill color2="#e36c0a [2409]" focus="100%" type="gradient"/>
            <v:shadow on="t" color="silver" opacity="52429f" offset="3pt,3pt"/>
            <v:textpath style="font-family:&quot;Times New Roman&quot;;v-text-kern:t" trim="t" fitpath="t" xscale="f" string="Teacher / Technician Guide"/>
            <w10:wrap type="square"/>
          </v:shape>
        </w:pict>
      </w:r>
    </w:p>
    <w:p w:rsidR="008D6B4B" w:rsidRDefault="008D6B4B" w:rsidP="00F935B5">
      <w:pPr>
        <w:rPr>
          <w:szCs w:val="24"/>
        </w:rPr>
      </w:pPr>
    </w:p>
    <w:p w:rsidR="008D6B4B" w:rsidRDefault="0055692F" w:rsidP="00F935B5">
      <w:pPr>
        <w:rPr>
          <w:szCs w:val="24"/>
        </w:rPr>
      </w:pPr>
      <w:r>
        <w:rPr>
          <w:noProof/>
          <w:sz w:val="52"/>
          <w:szCs w:val="52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5.6pt;margin-top:44.7pt;width:487.9pt;height:138.55pt;z-index:251664384;mso-width-relative:margin;mso-height-relative:margin">
            <v:textbox>
              <w:txbxContent>
                <w:p w:rsidR="007F2966" w:rsidRPr="00522EF2" w:rsidRDefault="007F2966" w:rsidP="007F2966">
                  <w:pPr>
                    <w:spacing w:after="120" w:line="240" w:lineRule="auto"/>
                    <w:rPr>
                      <w:b/>
                    </w:rPr>
                  </w:pPr>
                  <w:r w:rsidRPr="00522EF2">
                    <w:rPr>
                      <w:b/>
                    </w:rPr>
                    <w:t xml:space="preserve">CfE Level 3 </w:t>
                  </w:r>
                </w:p>
                <w:p w:rsidR="007F2966" w:rsidRDefault="007F2966" w:rsidP="007F2966">
                  <w:pPr>
                    <w:spacing w:after="120" w:line="240" w:lineRule="auto"/>
                  </w:pPr>
                  <w:r w:rsidRPr="00ED0371">
                    <w:t>Through experimentation, I can identify indicators of chemical reactions having occurred. I can describe ways of controlling the rate of reactions and can relate my findings to the world around me.</w:t>
                  </w:r>
                </w:p>
                <w:p w:rsidR="007F2966" w:rsidRPr="00522EF2" w:rsidRDefault="007F2966" w:rsidP="007F2966">
                  <w:pPr>
                    <w:spacing w:after="120" w:line="240" w:lineRule="auto"/>
                    <w:jc w:val="right"/>
                    <w:rPr>
                      <w:b/>
                    </w:rPr>
                  </w:pPr>
                  <w:r w:rsidRPr="00522EF2">
                    <w:rPr>
                      <w:b/>
                    </w:rPr>
                    <w:t>SCN 3-1</w:t>
                  </w:r>
                  <w:r>
                    <w:rPr>
                      <w:b/>
                    </w:rPr>
                    <w:t>9</w:t>
                  </w:r>
                  <w:r w:rsidRPr="00522EF2">
                    <w:rPr>
                      <w:b/>
                    </w:rPr>
                    <w:t>a</w:t>
                  </w:r>
                </w:p>
                <w:p w:rsidR="007F2966" w:rsidRPr="00522EF2" w:rsidRDefault="007F2966" w:rsidP="007F2966">
                  <w:pPr>
                    <w:spacing w:after="120" w:line="240" w:lineRule="auto"/>
                    <w:rPr>
                      <w:b/>
                    </w:rPr>
                  </w:pPr>
                  <w:r w:rsidRPr="00522EF2">
                    <w:rPr>
                      <w:b/>
                    </w:rPr>
                    <w:t>CfE Higher – Nature’s Chemistry</w:t>
                  </w:r>
                </w:p>
                <w:p w:rsidR="007F2966" w:rsidRDefault="007F2966" w:rsidP="007F2966">
                  <w:pPr>
                    <w:spacing w:after="120" w:line="240" w:lineRule="auto"/>
                  </w:pPr>
                  <w:r>
                    <w:tab/>
                  </w:r>
                  <w:r>
                    <w:tab/>
                  </w:r>
                  <w:r w:rsidR="00B77DAA">
                    <w:tab/>
                  </w:r>
                  <w:r>
                    <w:t>The Chemistry of cooking</w:t>
                  </w:r>
                </w:p>
              </w:txbxContent>
            </v:textbox>
          </v:shape>
        </w:pict>
      </w:r>
      <w:r w:rsidR="000D3941">
        <w:rPr>
          <w:szCs w:val="24"/>
        </w:rPr>
        <w:br w:type="page"/>
      </w:r>
    </w:p>
    <w:p w:rsidR="0094028A" w:rsidRPr="0094028A" w:rsidRDefault="0094028A" w:rsidP="0094028A">
      <w:pPr>
        <w:rPr>
          <w:rFonts w:cs="Times New Roman"/>
          <w:b/>
          <w:szCs w:val="24"/>
        </w:rPr>
      </w:pPr>
      <w:r w:rsidRPr="0094028A">
        <w:rPr>
          <w:rFonts w:cs="Times New Roman"/>
          <w:b/>
          <w:szCs w:val="24"/>
        </w:rPr>
        <w:lastRenderedPageBreak/>
        <w:t>Introduction</w:t>
      </w:r>
    </w:p>
    <w:p w:rsidR="0094028A" w:rsidRDefault="0094028A" w:rsidP="0094028A">
      <w:pPr>
        <w:rPr>
          <w:rFonts w:cs="Times New Roman"/>
          <w:szCs w:val="24"/>
        </w:rPr>
      </w:pPr>
      <w:r w:rsidRPr="0094028A">
        <w:rPr>
          <w:rFonts w:cs="Times New Roman"/>
          <w:szCs w:val="24"/>
        </w:rPr>
        <w:t xml:space="preserve">Under certain conditions, reducing sugars may react with compounds bearing a free amino group and undergo a sequence of reactions known collectively as the Maillard reaction. </w:t>
      </w:r>
    </w:p>
    <w:p w:rsidR="0094028A" w:rsidRDefault="0094028A" w:rsidP="0094028A">
      <w:pPr>
        <w:rPr>
          <w:rFonts w:cs="Times New Roman"/>
          <w:szCs w:val="24"/>
        </w:rPr>
      </w:pPr>
      <w:r w:rsidRPr="0094028A">
        <w:rPr>
          <w:rFonts w:cs="Times New Roman"/>
          <w:szCs w:val="24"/>
        </w:rPr>
        <w:t xml:space="preserve">As a part of this, alpha-dicarbonyl compounds produced in the Maillard reaction can react with amino acids and produce aromatic pryazines.  </w:t>
      </w:r>
      <w:r>
        <w:rPr>
          <w:rFonts w:cs="Times New Roman"/>
          <w:szCs w:val="24"/>
        </w:rPr>
        <w:t>At the same time brown melanoidins are produced so the Maillard reactions has an effect on both colour and aroma of foods.</w:t>
      </w:r>
    </w:p>
    <w:p w:rsidR="0094028A" w:rsidRPr="0094028A" w:rsidRDefault="0094028A" w:rsidP="0094028A">
      <w:pPr>
        <w:rPr>
          <w:rFonts w:cs="Times New Roman"/>
          <w:szCs w:val="24"/>
        </w:rPr>
      </w:pPr>
      <w:r>
        <w:rPr>
          <w:rFonts w:cs="Times New Roman"/>
          <w:szCs w:val="24"/>
        </w:rPr>
        <w:t>The series of reactions is extremely complex. A simplified (believe it or not) schematic is shown below.</w:t>
      </w:r>
    </w:p>
    <w:p w:rsidR="0094028A" w:rsidRDefault="0094028A" w:rsidP="0094028A">
      <w:pPr>
        <w:jc w:val="both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>
            <wp:extent cx="5657850" cy="4248150"/>
            <wp:effectExtent l="0" t="0" r="0" b="0"/>
            <wp:docPr id="11" name="irc_mi" descr="https://cdavies.files.wordpress.com/2007/02/hs-2.jpg?w=809&amp;h=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davies.files.wordpress.com/2007/02/hs-2.jpg?w=809&amp;h=6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EF" w:rsidRPr="008732EF" w:rsidRDefault="0094028A" w:rsidP="008732EF">
      <w:pPr>
        <w:rPr>
          <w:rFonts w:cs="Times New Roman"/>
        </w:rPr>
      </w:pPr>
      <w:r w:rsidRPr="008732EF">
        <w:rPr>
          <w:rFonts w:cs="Times New Roman"/>
        </w:rPr>
        <w:t xml:space="preserve">According to </w:t>
      </w:r>
      <w:r w:rsidR="008732EF" w:rsidRPr="008732EF">
        <w:rPr>
          <w:rFonts w:cs="Times New Roman"/>
        </w:rPr>
        <w:t>This</w:t>
      </w:r>
      <w:r w:rsidRPr="008732EF">
        <w:rPr>
          <w:rFonts w:cs="Times New Roman"/>
        </w:rPr>
        <w:t xml:space="preserve"> model, the Maillard reaction has three stages. </w:t>
      </w:r>
    </w:p>
    <w:p w:rsidR="008732EF" w:rsidRPr="008732EF" w:rsidRDefault="0094028A" w:rsidP="008732EF">
      <w:pPr>
        <w:pStyle w:val="ListParagraph"/>
        <w:numPr>
          <w:ilvl w:val="0"/>
          <w:numId w:val="18"/>
        </w:numPr>
        <w:rPr>
          <w:rFonts w:cs="Times New Roman"/>
        </w:rPr>
      </w:pPr>
      <w:r w:rsidRPr="008732EF">
        <w:rPr>
          <w:rFonts w:cs="Times New Roman"/>
        </w:rPr>
        <w:t xml:space="preserve">the carbonyl group of a sugar reacts with an amino group on a protein or amino acid to produce water and an unstable glycosylamine. </w:t>
      </w:r>
    </w:p>
    <w:p w:rsidR="008732EF" w:rsidRPr="008732EF" w:rsidRDefault="0094028A" w:rsidP="008732EF">
      <w:pPr>
        <w:pStyle w:val="ListParagraph"/>
        <w:numPr>
          <w:ilvl w:val="0"/>
          <w:numId w:val="18"/>
        </w:numPr>
        <w:rPr>
          <w:rFonts w:cs="Times New Roman"/>
        </w:rPr>
      </w:pPr>
      <w:r w:rsidRPr="008732EF">
        <w:rPr>
          <w:rFonts w:cs="Times New Roman"/>
        </w:rPr>
        <w:t xml:space="preserve">the glycosylamine undergoes Amadori rearrangements to produce a series of aminoketose compounds. </w:t>
      </w:r>
    </w:p>
    <w:p w:rsidR="0094028A" w:rsidRPr="008732EF" w:rsidRDefault="0094028A" w:rsidP="008732EF">
      <w:pPr>
        <w:pStyle w:val="ListParagraph"/>
        <w:numPr>
          <w:ilvl w:val="0"/>
          <w:numId w:val="18"/>
        </w:numPr>
        <w:rPr>
          <w:rFonts w:cs="Times New Roman"/>
        </w:rPr>
      </w:pPr>
      <w:r w:rsidRPr="008732EF">
        <w:rPr>
          <w:rFonts w:cs="Times New Roman"/>
        </w:rPr>
        <w:t>a multitude of molecules, including some with flavour, aroma, and colour, are created when the aminoketose compounds undergo a host of further rearrangements, conversions, additions, and polymerizations.</w:t>
      </w:r>
    </w:p>
    <w:p w:rsidR="005A23E3" w:rsidRDefault="005A23E3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94028A" w:rsidRPr="0094028A" w:rsidRDefault="0094028A" w:rsidP="0094028A">
      <w:pPr>
        <w:rPr>
          <w:rFonts w:cs="Times New Roman"/>
          <w:b/>
          <w:szCs w:val="24"/>
        </w:rPr>
      </w:pPr>
      <w:r w:rsidRPr="0094028A">
        <w:rPr>
          <w:rFonts w:cs="Times New Roman"/>
          <w:b/>
          <w:szCs w:val="24"/>
        </w:rPr>
        <w:lastRenderedPageBreak/>
        <w:t>History of the Maillard reaction</w:t>
      </w:r>
    </w:p>
    <w:p w:rsidR="008732EF" w:rsidRDefault="008732EF" w:rsidP="0094028A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Even though the reactants are fairly simple, </w:t>
      </w:r>
      <w:r w:rsidR="0094028A" w:rsidRPr="0094028A">
        <w:rPr>
          <w:rFonts w:cs="Times New Roman"/>
          <w:szCs w:val="24"/>
        </w:rPr>
        <w:t>Maillard chemistry was so complicated and produced so many products—hundreds of them—that the research world largely ignore</w:t>
      </w:r>
      <w:r>
        <w:rPr>
          <w:rFonts w:cs="Times New Roman"/>
          <w:szCs w:val="24"/>
        </w:rPr>
        <w:t>d</w:t>
      </w:r>
      <w:r w:rsidR="0094028A" w:rsidRPr="0094028A">
        <w:rPr>
          <w:rFonts w:cs="Times New Roman"/>
          <w:szCs w:val="24"/>
        </w:rPr>
        <w:t xml:space="preserve"> it until around the time of World War II. </w:t>
      </w:r>
    </w:p>
    <w:p w:rsidR="0094028A" w:rsidRPr="0094028A" w:rsidRDefault="008732EF" w:rsidP="0094028A">
      <w:pPr>
        <w:rPr>
          <w:rFonts w:cs="Times New Roman"/>
          <w:szCs w:val="24"/>
        </w:rPr>
      </w:pPr>
      <w:r>
        <w:rPr>
          <w:rFonts w:cs="Times New Roman"/>
          <w:szCs w:val="24"/>
        </w:rPr>
        <w:t>At this time, t</w:t>
      </w:r>
      <w:r w:rsidR="0094028A" w:rsidRPr="0094028A">
        <w:rPr>
          <w:rFonts w:cs="Times New Roman"/>
          <w:szCs w:val="24"/>
        </w:rPr>
        <w:t>he military became interested in producing on an industrial scale food that both was palatable and had a long shelf life. Because the Maillard reaction is responsible for the appealing aromas of freshly cooked food as well as some of the unwelcome ingredients in processed or long-stored food, scientists began to seriously study the reaction.</w:t>
      </w:r>
    </w:p>
    <w:p w:rsidR="0094028A" w:rsidRPr="0094028A" w:rsidRDefault="0094028A" w:rsidP="0094028A">
      <w:pPr>
        <w:rPr>
          <w:rFonts w:cs="Times New Roman"/>
          <w:szCs w:val="24"/>
        </w:rPr>
      </w:pPr>
      <w:r w:rsidRPr="0094028A">
        <w:rPr>
          <w:rFonts w:cs="Times New Roman"/>
          <w:szCs w:val="24"/>
        </w:rPr>
        <w:t>Then in 1953, an African American chemist named John E. Hodge, who worked at the U.S. Department of Agriculture in Peoria, Ill</w:t>
      </w:r>
      <w:r w:rsidR="005A23E3">
        <w:rPr>
          <w:rFonts w:cs="Times New Roman"/>
          <w:szCs w:val="24"/>
        </w:rPr>
        <w:t>inois</w:t>
      </w:r>
      <w:r w:rsidRPr="0094028A">
        <w:rPr>
          <w:rFonts w:cs="Times New Roman"/>
          <w:szCs w:val="24"/>
        </w:rPr>
        <w:t>, published a paper that established a mechanism for the Maillard reaction</w:t>
      </w:r>
      <w:r w:rsidR="008732EF">
        <w:rPr>
          <w:rFonts w:cs="Times New Roman"/>
          <w:szCs w:val="24"/>
        </w:rPr>
        <w:t>.</w:t>
      </w:r>
      <w:r w:rsidR="008732EF">
        <w:rPr>
          <w:rStyle w:val="FootnoteReference"/>
          <w:rFonts w:cs="Times New Roman"/>
          <w:szCs w:val="24"/>
        </w:rPr>
        <w:footnoteReference w:id="2"/>
      </w:r>
      <w:r w:rsidRPr="0094028A">
        <w:rPr>
          <w:rFonts w:cs="Times New Roman"/>
          <w:szCs w:val="24"/>
        </w:rPr>
        <w:t xml:space="preserve"> Maillard discovered the reaction, but Hodge understood it. In fact, because citations of Hodge’s paper far outnumber those of Maillard’s, there has been some discussion of renaming it the Maillard-Hodge reaction.</w:t>
      </w:r>
    </w:p>
    <w:p w:rsidR="0094028A" w:rsidRPr="0094028A" w:rsidRDefault="0094028A" w:rsidP="0094028A">
      <w:pPr>
        <w:rPr>
          <w:rFonts w:cs="Times New Roman"/>
          <w:szCs w:val="24"/>
        </w:rPr>
      </w:pPr>
    </w:p>
    <w:p w:rsidR="0094028A" w:rsidRPr="0094028A" w:rsidRDefault="0094028A" w:rsidP="0094028A">
      <w:pPr>
        <w:rPr>
          <w:rFonts w:cs="Times New Roman"/>
          <w:b/>
          <w:szCs w:val="24"/>
        </w:rPr>
      </w:pPr>
      <w:r w:rsidRPr="0094028A">
        <w:rPr>
          <w:rFonts w:cs="Times New Roman"/>
          <w:b/>
          <w:szCs w:val="24"/>
        </w:rPr>
        <w:t>Note:</w:t>
      </w:r>
    </w:p>
    <w:p w:rsidR="002A6B50" w:rsidRDefault="002A6B50" w:rsidP="0094028A">
      <w:pPr>
        <w:rPr>
          <w:rFonts w:cs="Times New Roman"/>
          <w:szCs w:val="24"/>
        </w:rPr>
      </w:pPr>
      <w:r>
        <w:rPr>
          <w:rFonts w:cs="Times New Roman"/>
          <w:szCs w:val="24"/>
        </w:rPr>
        <w:t>Browning due to the Maillard reaction should not be confused with other types of browning.</w:t>
      </w:r>
    </w:p>
    <w:p w:rsidR="002A6B50" w:rsidRDefault="0094028A" w:rsidP="0094028A">
      <w:pPr>
        <w:rPr>
          <w:rFonts w:cs="Times New Roman"/>
          <w:szCs w:val="24"/>
        </w:rPr>
      </w:pPr>
      <w:r w:rsidRPr="0094028A">
        <w:rPr>
          <w:rFonts w:cs="Times New Roman"/>
          <w:szCs w:val="24"/>
        </w:rPr>
        <w:t xml:space="preserve"> </w:t>
      </w:r>
      <w:r w:rsidR="002A6B50" w:rsidRPr="002A6B50">
        <w:rPr>
          <w:rFonts w:cs="Times New Roman"/>
          <w:b/>
          <w:szCs w:val="24"/>
        </w:rPr>
        <w:t>C</w:t>
      </w:r>
      <w:r w:rsidRPr="002A6B50">
        <w:rPr>
          <w:rFonts w:cs="Times New Roman"/>
          <w:b/>
          <w:szCs w:val="24"/>
        </w:rPr>
        <w:t>aramelisation</w:t>
      </w:r>
      <w:r w:rsidR="002A6B50">
        <w:rPr>
          <w:rFonts w:cs="Times New Roman"/>
          <w:szCs w:val="24"/>
        </w:rPr>
        <w:t xml:space="preserve"> –</w:t>
      </w:r>
      <w:r w:rsidRPr="0094028A">
        <w:rPr>
          <w:rFonts w:cs="Times New Roman"/>
          <w:szCs w:val="24"/>
        </w:rPr>
        <w:t xml:space="preserve"> </w:t>
      </w:r>
      <w:r w:rsidR="002A6B50">
        <w:rPr>
          <w:rFonts w:cs="Times New Roman"/>
          <w:szCs w:val="24"/>
        </w:rPr>
        <w:t xml:space="preserve">This </w:t>
      </w:r>
      <w:r w:rsidRPr="0094028A">
        <w:rPr>
          <w:rFonts w:cs="Times New Roman"/>
          <w:szCs w:val="24"/>
        </w:rPr>
        <w:t>occurs when polyhydroxycarbonyl compounds (sugars, polyhydroxycarboxylic acids) are heated to relatively high temperatures in the absence of amino compounds</w:t>
      </w:r>
      <w:r w:rsidR="002A6B50">
        <w:rPr>
          <w:rFonts w:cs="Times New Roman"/>
          <w:szCs w:val="24"/>
        </w:rPr>
        <w:t>.</w:t>
      </w:r>
      <w:r w:rsidRPr="0094028A">
        <w:rPr>
          <w:rFonts w:cs="Times New Roman"/>
          <w:szCs w:val="24"/>
        </w:rPr>
        <w:t xml:space="preserve">This type of browning characteristically requires more energy to get started than the carbonyl-amino reactions, other conditions being equal. </w:t>
      </w:r>
    </w:p>
    <w:p w:rsidR="0094028A" w:rsidRDefault="005A23E3" w:rsidP="0094028A">
      <w:pPr>
        <w:rPr>
          <w:rFonts w:cs="Times New Roman"/>
          <w:szCs w:val="24"/>
        </w:rPr>
      </w:pPr>
      <w:r w:rsidRPr="005A23E3">
        <w:rPr>
          <w:rFonts w:cs="Times New Roman"/>
          <w:b/>
          <w:szCs w:val="24"/>
        </w:rPr>
        <w:t>Enzymic browning</w:t>
      </w:r>
      <w:r w:rsidR="002A6B50">
        <w:rPr>
          <w:rFonts w:cs="Times New Roman"/>
          <w:szCs w:val="24"/>
        </w:rPr>
        <w:t>– This is</w:t>
      </w:r>
      <w:r w:rsidR="0094028A" w:rsidRPr="0094028A">
        <w:rPr>
          <w:rFonts w:cs="Times New Roman"/>
          <w:szCs w:val="24"/>
        </w:rPr>
        <w:t xml:space="preserve"> the group of oxidative reactions which, for example, convert ascorbic acid and polyphenols into di- or polycarbonyl compounds. These oxidations may or may not be enzyme-catalyzed (See enzymic browning factsheet).</w:t>
      </w:r>
    </w:p>
    <w:p w:rsidR="005A23E3" w:rsidRPr="005A23E3" w:rsidRDefault="005A23E3" w:rsidP="0094028A">
      <w:pPr>
        <w:rPr>
          <w:rFonts w:cs="Times New Roman"/>
          <w:i/>
          <w:szCs w:val="24"/>
        </w:rPr>
      </w:pPr>
      <w:r w:rsidRPr="005A23E3">
        <w:rPr>
          <w:rFonts w:cs="Times New Roman"/>
          <w:i/>
          <w:szCs w:val="24"/>
        </w:rPr>
        <w:t>(Not all of these oxidative reactions are in fact enzyme catalysed but they are all grouped together here for simplicity)</w:t>
      </w:r>
    </w:p>
    <w:p w:rsidR="0094028A" w:rsidRPr="0094028A" w:rsidRDefault="0094028A" w:rsidP="0094028A">
      <w:pPr>
        <w:rPr>
          <w:rFonts w:cs="Times New Roman"/>
          <w:szCs w:val="24"/>
        </w:rPr>
      </w:pPr>
    </w:p>
    <w:p w:rsidR="0094028A" w:rsidRPr="0094028A" w:rsidRDefault="0094028A" w:rsidP="0094028A">
      <w:pPr>
        <w:rPr>
          <w:rFonts w:cs="Times New Roman"/>
          <w:szCs w:val="24"/>
        </w:rPr>
      </w:pPr>
      <w:r w:rsidRPr="0094028A">
        <w:rPr>
          <w:rFonts w:cs="Times New Roman"/>
          <w:szCs w:val="24"/>
        </w:rPr>
        <w:br w:type="page"/>
      </w:r>
    </w:p>
    <w:p w:rsidR="0094028A" w:rsidRPr="0094028A" w:rsidRDefault="002A6B50" w:rsidP="0094028A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 xml:space="preserve">Some examples of </w:t>
      </w:r>
      <w:r w:rsidR="0094028A" w:rsidRPr="0094028A">
        <w:rPr>
          <w:rFonts w:cs="Times New Roman"/>
          <w:b/>
          <w:szCs w:val="24"/>
        </w:rPr>
        <w:t>Maillard reaction</w:t>
      </w:r>
      <w:r>
        <w:rPr>
          <w:rFonts w:cs="Times New Roman"/>
          <w:b/>
          <w:szCs w:val="24"/>
        </w:rPr>
        <w:t>s</w:t>
      </w:r>
      <w:r w:rsidR="0094028A" w:rsidRPr="0094028A">
        <w:rPr>
          <w:rFonts w:cs="Times New Roman"/>
          <w:b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1"/>
        <w:gridCol w:w="4621"/>
      </w:tblGrid>
      <w:tr w:rsidR="0094028A" w:rsidRPr="0094028A" w:rsidTr="0009103E">
        <w:tc>
          <w:tcPr>
            <w:tcW w:w="4621" w:type="dxa"/>
          </w:tcPr>
          <w:p w:rsidR="0094028A" w:rsidRPr="0094028A" w:rsidRDefault="0094028A" w:rsidP="0094028A">
            <w:pPr>
              <w:rPr>
                <w:rFonts w:cs="Times New Roman"/>
                <w:b/>
                <w:sz w:val="24"/>
                <w:szCs w:val="24"/>
              </w:rPr>
            </w:pPr>
            <w:r w:rsidRPr="0094028A">
              <w:rPr>
                <w:rFonts w:cs="Times New Roman"/>
                <w:b/>
                <w:sz w:val="24"/>
                <w:szCs w:val="24"/>
              </w:rPr>
              <w:t>Raw food</w:t>
            </w:r>
          </w:p>
        </w:tc>
        <w:tc>
          <w:tcPr>
            <w:tcW w:w="4621" w:type="dxa"/>
          </w:tcPr>
          <w:p w:rsidR="0094028A" w:rsidRPr="0094028A" w:rsidRDefault="0094028A" w:rsidP="0094028A">
            <w:pPr>
              <w:rPr>
                <w:rFonts w:cs="Times New Roman"/>
                <w:b/>
                <w:sz w:val="24"/>
                <w:szCs w:val="24"/>
              </w:rPr>
            </w:pPr>
            <w:r w:rsidRPr="0094028A">
              <w:rPr>
                <w:rFonts w:cs="Times New Roman"/>
                <w:b/>
                <w:sz w:val="24"/>
                <w:szCs w:val="24"/>
              </w:rPr>
              <w:t>Cooked food</w:t>
            </w:r>
          </w:p>
        </w:tc>
      </w:tr>
      <w:tr w:rsidR="0094028A" w:rsidRPr="0094028A" w:rsidTr="0009103E">
        <w:tc>
          <w:tcPr>
            <w:tcW w:w="4621" w:type="dxa"/>
          </w:tcPr>
          <w:p w:rsidR="0094028A" w:rsidRPr="0094028A" w:rsidRDefault="0094028A" w:rsidP="0094028A">
            <w:pPr>
              <w:rPr>
                <w:rFonts w:cs="Times New Roman"/>
                <w:sz w:val="24"/>
                <w:szCs w:val="24"/>
              </w:rPr>
            </w:pPr>
            <w:r w:rsidRPr="0094028A">
              <w:rPr>
                <w:rFonts w:cs="Times New Roman"/>
                <w:noProof/>
                <w:szCs w:val="24"/>
                <w:lang w:eastAsia="en-GB"/>
              </w:rPr>
              <w:drawing>
                <wp:inline distT="0" distB="0" distL="0" distR="0">
                  <wp:extent cx="2519816" cy="1562100"/>
                  <wp:effectExtent l="0" t="0" r="0" b="0"/>
                  <wp:docPr id="4" name="irc_mi" descr="http://www.candogseat-this.com/wp-content/uploads/2013/11/can-dogs-eat-raw-chicken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andogseat-this.com/wp-content/uploads/2013/11/can-dogs-eat-raw-chicken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816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94028A" w:rsidRPr="0094028A" w:rsidRDefault="0094028A" w:rsidP="0094028A">
            <w:pPr>
              <w:rPr>
                <w:rFonts w:cs="Times New Roman"/>
                <w:sz w:val="24"/>
                <w:szCs w:val="24"/>
              </w:rPr>
            </w:pPr>
            <w:r w:rsidRPr="0094028A">
              <w:rPr>
                <w:rFonts w:cs="Times New Roman"/>
                <w:noProof/>
                <w:szCs w:val="24"/>
                <w:lang w:eastAsia="en-GB"/>
              </w:rPr>
              <w:drawing>
                <wp:inline distT="0" distB="0" distL="0" distR="0">
                  <wp:extent cx="2076450" cy="1808782"/>
                  <wp:effectExtent l="0" t="0" r="0" b="1270"/>
                  <wp:docPr id="5" name="irc_mi" descr="http://samonlinestore.emmcollwebdevelopers.com/wp-content/uploads/2014/10/cooked-chic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amonlinestore.emmcollwebdevelopers.com/wp-content/uploads/2014/10/cooked-chic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808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28A" w:rsidRPr="0094028A" w:rsidTr="0009103E">
        <w:tc>
          <w:tcPr>
            <w:tcW w:w="4621" w:type="dxa"/>
          </w:tcPr>
          <w:p w:rsidR="0094028A" w:rsidRPr="0094028A" w:rsidRDefault="0094028A" w:rsidP="0094028A">
            <w:pPr>
              <w:rPr>
                <w:rFonts w:cs="Times New Roman"/>
                <w:sz w:val="24"/>
                <w:szCs w:val="24"/>
              </w:rPr>
            </w:pPr>
            <w:r w:rsidRPr="0094028A">
              <w:rPr>
                <w:rFonts w:cs="Times New Roman"/>
                <w:noProof/>
                <w:szCs w:val="24"/>
                <w:lang w:eastAsia="en-GB"/>
              </w:rPr>
              <w:drawing>
                <wp:inline distT="0" distB="0" distL="0" distR="0">
                  <wp:extent cx="1552575" cy="1552575"/>
                  <wp:effectExtent l="0" t="0" r="9525" b="9525"/>
                  <wp:docPr id="7" name="irc_mi" descr="http://upload.wikimedia.org/wikipedia/commons/9/97/75_degrees_green_coff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9/97/75_degrees_green_coff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94028A" w:rsidRPr="0094028A" w:rsidRDefault="0094028A" w:rsidP="0094028A">
            <w:pPr>
              <w:rPr>
                <w:rFonts w:cs="Times New Roman"/>
                <w:sz w:val="24"/>
                <w:szCs w:val="24"/>
              </w:rPr>
            </w:pPr>
            <w:r w:rsidRPr="0094028A">
              <w:rPr>
                <w:rFonts w:cs="Times New Roman"/>
                <w:noProof/>
                <w:szCs w:val="24"/>
                <w:lang w:eastAsia="en-GB"/>
              </w:rPr>
              <w:drawing>
                <wp:inline distT="0" distB="0" distL="0" distR="0">
                  <wp:extent cx="2314937" cy="1552575"/>
                  <wp:effectExtent l="0" t="0" r="9525" b="0"/>
                  <wp:docPr id="8" name="Picture 4" descr="http://www.sprinklesandco.co.uk/wp-content/uploads/2014/02/coffeebe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prinklesandco.co.uk/wp-content/uploads/2014/02/coffeebe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940" cy="15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28A" w:rsidRPr="0094028A" w:rsidTr="0009103E">
        <w:tc>
          <w:tcPr>
            <w:tcW w:w="4621" w:type="dxa"/>
          </w:tcPr>
          <w:p w:rsidR="0094028A" w:rsidRPr="0094028A" w:rsidRDefault="0094028A" w:rsidP="0094028A">
            <w:pPr>
              <w:rPr>
                <w:rFonts w:cs="Times New Roman"/>
                <w:sz w:val="24"/>
                <w:szCs w:val="24"/>
              </w:rPr>
            </w:pPr>
            <w:r w:rsidRPr="0094028A">
              <w:rPr>
                <w:rFonts w:cs="Times New Roman"/>
                <w:noProof/>
                <w:szCs w:val="24"/>
                <w:lang w:eastAsia="en-GB"/>
              </w:rPr>
              <w:drawing>
                <wp:inline distT="0" distB="0" distL="0" distR="0">
                  <wp:extent cx="1181100" cy="1416572"/>
                  <wp:effectExtent l="0" t="0" r="0" b="0"/>
                  <wp:docPr id="9" name="irc_mi" descr="http://i01.i.aliimg.com/photo/v0/180340639/Raw_peanut_inshell_raw_peanuts_in_sh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01.i.aliimg.com/photo/v0/180340639/Raw_peanut_inshell_raw_peanuts_in_sh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1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94028A" w:rsidRPr="0094028A" w:rsidRDefault="0094028A" w:rsidP="0094028A">
            <w:pPr>
              <w:rPr>
                <w:rFonts w:cs="Times New Roman"/>
                <w:sz w:val="24"/>
                <w:szCs w:val="24"/>
              </w:rPr>
            </w:pPr>
            <w:r w:rsidRPr="0094028A">
              <w:rPr>
                <w:rFonts w:cs="Times New Roman"/>
                <w:noProof/>
                <w:szCs w:val="24"/>
                <w:lang w:eastAsia="en-GB"/>
              </w:rPr>
              <w:drawing>
                <wp:inline distT="0" distB="0" distL="0" distR="0">
                  <wp:extent cx="2171700" cy="1447800"/>
                  <wp:effectExtent l="0" t="0" r="0" b="0"/>
                  <wp:docPr id="10" name="irc_mi" descr="http://chstheodyssey.com/wp-content/uploads/2015/05/peanut-butter-br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hstheodyssey.com/wp-content/uploads/2015/05/peanut-butter-br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302" cy="145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28A" w:rsidRPr="0094028A" w:rsidTr="0009103E">
        <w:tc>
          <w:tcPr>
            <w:tcW w:w="4621" w:type="dxa"/>
          </w:tcPr>
          <w:p w:rsidR="0094028A" w:rsidRPr="0094028A" w:rsidRDefault="0094028A" w:rsidP="0094028A">
            <w:pPr>
              <w:rPr>
                <w:rFonts w:cs="Times New Roman"/>
                <w:sz w:val="24"/>
                <w:szCs w:val="24"/>
              </w:rPr>
            </w:pPr>
            <w:r w:rsidRPr="0094028A">
              <w:rPr>
                <w:rFonts w:cs="Times New Roman"/>
                <w:noProof/>
                <w:szCs w:val="24"/>
                <w:lang w:eastAsia="en-GB"/>
              </w:rPr>
              <w:drawing>
                <wp:inline distT="0" distB="0" distL="0" distR="0">
                  <wp:extent cx="2058553" cy="1543050"/>
                  <wp:effectExtent l="0" t="0" r="0" b="0"/>
                  <wp:docPr id="12" name="irc_mi" descr="http://tauralt.ee/wp-content/uploads/2012/09/ma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auralt.ee/wp-content/uploads/2012/09/ma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553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94028A" w:rsidRPr="0094028A" w:rsidRDefault="0094028A" w:rsidP="0094028A">
            <w:pPr>
              <w:rPr>
                <w:rFonts w:cs="Times New Roman"/>
                <w:sz w:val="24"/>
                <w:szCs w:val="24"/>
              </w:rPr>
            </w:pPr>
            <w:r w:rsidRPr="0094028A">
              <w:rPr>
                <w:rFonts w:cs="Times New Roman"/>
                <w:noProof/>
                <w:szCs w:val="24"/>
                <w:lang w:eastAsia="en-GB"/>
              </w:rPr>
              <w:drawing>
                <wp:inline distT="0" distB="0" distL="0" distR="0">
                  <wp:extent cx="1885950" cy="1885950"/>
                  <wp:effectExtent l="0" t="0" r="0" b="0"/>
                  <wp:docPr id="13" name="irc_mi" descr="https://flavourly.s3.amazonaws.com/media/catalogue/product/Eden-Shipwr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lavourly.s3.amazonaws.com/media/catalogue/product/Eden-Shipwre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28A" w:rsidRPr="0094028A" w:rsidTr="0009103E">
        <w:tc>
          <w:tcPr>
            <w:tcW w:w="4621" w:type="dxa"/>
          </w:tcPr>
          <w:p w:rsidR="0094028A" w:rsidRPr="0094028A" w:rsidRDefault="0094028A" w:rsidP="0094028A">
            <w:pPr>
              <w:rPr>
                <w:rFonts w:cs="Times New Roman"/>
                <w:sz w:val="24"/>
                <w:szCs w:val="24"/>
              </w:rPr>
            </w:pPr>
            <w:r w:rsidRPr="0094028A">
              <w:rPr>
                <w:rFonts w:cs="Times New Roman"/>
                <w:noProof/>
                <w:szCs w:val="24"/>
                <w:lang w:eastAsia="en-GB"/>
              </w:rPr>
              <w:drawing>
                <wp:inline distT="0" distB="0" distL="0" distR="0">
                  <wp:extent cx="2495550" cy="1558845"/>
                  <wp:effectExtent l="0" t="0" r="0" b="3810"/>
                  <wp:docPr id="14" name="irc_mi" descr="http://upload.wikimedia.org/wikipedia/commons/a/a8/Risen_bread_dough_in_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a/a8/Risen_bread_dough_in_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55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94028A" w:rsidRPr="0094028A" w:rsidRDefault="0094028A" w:rsidP="0094028A">
            <w:pPr>
              <w:rPr>
                <w:rFonts w:cs="Times New Roman"/>
                <w:sz w:val="24"/>
                <w:szCs w:val="24"/>
              </w:rPr>
            </w:pPr>
            <w:r w:rsidRPr="0094028A">
              <w:rPr>
                <w:rFonts w:cs="Times New Roman"/>
                <w:noProof/>
                <w:szCs w:val="24"/>
                <w:lang w:eastAsia="en-GB"/>
              </w:rPr>
              <w:drawing>
                <wp:inline distT="0" distB="0" distL="0" distR="0">
                  <wp:extent cx="1924050" cy="1543392"/>
                  <wp:effectExtent l="0" t="0" r="0" b="0"/>
                  <wp:docPr id="15" name="irc_mi" descr="http://pngimg.com/upload/bread_PNG2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ngimg.com/upload/bread_PNG22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29" cy="154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6B50" w:rsidRDefault="002A6B50" w:rsidP="0094028A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The experiment</w:t>
      </w:r>
    </w:p>
    <w:p w:rsidR="0094028A" w:rsidRPr="0094028A" w:rsidRDefault="0094028A" w:rsidP="0094028A">
      <w:pPr>
        <w:rPr>
          <w:rFonts w:cs="Times New Roman"/>
          <w:szCs w:val="24"/>
        </w:rPr>
      </w:pPr>
      <w:r w:rsidRPr="0094028A">
        <w:rPr>
          <w:rFonts w:cs="Times New Roman"/>
          <w:szCs w:val="24"/>
        </w:rPr>
        <w:t xml:space="preserve">The objective of this exercise is to evaluate the aroma and colour of heated amino acid-glucose solutions. </w:t>
      </w:r>
    </w:p>
    <w:p w:rsidR="002A6B50" w:rsidRPr="00D774BD" w:rsidRDefault="002A6B50" w:rsidP="002A6B50">
      <w:pPr>
        <w:rPr>
          <w:rFonts w:cs="Times New Roman"/>
          <w:b/>
          <w:szCs w:val="24"/>
        </w:rPr>
      </w:pPr>
      <w:r w:rsidRPr="00D774BD">
        <w:rPr>
          <w:rFonts w:cs="Times New Roman"/>
          <w:b/>
          <w:szCs w:val="24"/>
        </w:rPr>
        <w:t>You will need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2A6B50" w:rsidRPr="00D774BD" w:rsidTr="0009103E">
        <w:tc>
          <w:tcPr>
            <w:tcW w:w="4621" w:type="dxa"/>
          </w:tcPr>
          <w:p w:rsidR="002A6B50" w:rsidRPr="00D774BD" w:rsidRDefault="002A6B50" w:rsidP="0009103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D-glucose</w:t>
            </w:r>
          </w:p>
        </w:tc>
        <w:tc>
          <w:tcPr>
            <w:tcW w:w="4621" w:type="dxa"/>
          </w:tcPr>
          <w:p w:rsidR="002A6B50" w:rsidRPr="00D774BD" w:rsidRDefault="002A6B50" w:rsidP="0009103E">
            <w:pPr>
              <w:ind w:left="5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L-Amino acids (6 or so different ones)</w:t>
            </w:r>
          </w:p>
        </w:tc>
      </w:tr>
      <w:tr w:rsidR="002A6B50" w:rsidRPr="00D774BD" w:rsidTr="0009103E">
        <w:tc>
          <w:tcPr>
            <w:tcW w:w="4621" w:type="dxa"/>
          </w:tcPr>
          <w:p w:rsidR="002A6B50" w:rsidRPr="00D774BD" w:rsidRDefault="002A6B50" w:rsidP="0009103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Test tubes</w:t>
            </w:r>
          </w:p>
        </w:tc>
        <w:tc>
          <w:tcPr>
            <w:tcW w:w="4621" w:type="dxa"/>
          </w:tcPr>
          <w:p w:rsidR="002A6B50" w:rsidRPr="00D774BD" w:rsidRDefault="002A6B50" w:rsidP="0009103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Boiling water bath</w:t>
            </w:r>
          </w:p>
          <w:p w:rsidR="002A6B50" w:rsidRPr="00D774BD" w:rsidRDefault="002A6B50" w:rsidP="0009103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A6B50" w:rsidRPr="00D774BD" w:rsidTr="0009103E">
        <w:tc>
          <w:tcPr>
            <w:tcW w:w="4621" w:type="dxa"/>
          </w:tcPr>
          <w:p w:rsidR="002A6B50" w:rsidRPr="00D774BD" w:rsidRDefault="002A6B50" w:rsidP="0009103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Sodium carbonate*</w:t>
            </w:r>
          </w:p>
        </w:tc>
        <w:tc>
          <w:tcPr>
            <w:tcW w:w="4621" w:type="dxa"/>
          </w:tcPr>
          <w:p w:rsidR="002A6B50" w:rsidRPr="00D774BD" w:rsidRDefault="002A6B50" w:rsidP="0009103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Aluminium foil</w:t>
            </w:r>
          </w:p>
        </w:tc>
      </w:tr>
      <w:tr w:rsidR="002A6B50" w:rsidRPr="00D774BD" w:rsidTr="0009103E">
        <w:tc>
          <w:tcPr>
            <w:tcW w:w="4621" w:type="dxa"/>
          </w:tcPr>
          <w:p w:rsidR="002A6B50" w:rsidRPr="00D774BD" w:rsidRDefault="002A6B50" w:rsidP="0009103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Access to a 2dp balance</w:t>
            </w:r>
          </w:p>
        </w:tc>
        <w:tc>
          <w:tcPr>
            <w:tcW w:w="4621" w:type="dxa"/>
          </w:tcPr>
          <w:p w:rsidR="002A6B50" w:rsidRPr="00D774BD" w:rsidRDefault="002A6B50" w:rsidP="0009103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spatula</w:t>
            </w:r>
          </w:p>
        </w:tc>
      </w:tr>
    </w:tbl>
    <w:p w:rsidR="002A6B50" w:rsidRDefault="002A6B50" w:rsidP="002A6B50">
      <w:pPr>
        <w:rPr>
          <w:rFonts w:cs="Times New Roman"/>
          <w:szCs w:val="24"/>
        </w:rPr>
      </w:pPr>
    </w:p>
    <w:p w:rsidR="002A6B50" w:rsidRDefault="002A6B50" w:rsidP="002A6B50">
      <w:pPr>
        <w:rPr>
          <w:rFonts w:cs="Times New Roman"/>
          <w:szCs w:val="24"/>
        </w:rPr>
      </w:pPr>
      <w:r>
        <w:rPr>
          <w:rFonts w:cs="Times New Roman"/>
          <w:szCs w:val="24"/>
        </w:rPr>
        <w:t>* the Maillard reaction occurs more rapidly in alkaline conditions so the sodium carbonate is added to speed things up.</w:t>
      </w:r>
    </w:p>
    <w:p w:rsidR="002A6B50" w:rsidRPr="00D774BD" w:rsidRDefault="002A6B50" w:rsidP="002A6B50">
      <w:pPr>
        <w:rPr>
          <w:rFonts w:cs="Times New Roman"/>
          <w:b/>
          <w:szCs w:val="24"/>
        </w:rPr>
      </w:pPr>
      <w:r w:rsidRPr="00D774BD">
        <w:rPr>
          <w:rFonts w:cs="Times New Roman"/>
          <w:b/>
          <w:szCs w:val="24"/>
        </w:rPr>
        <w:t>Procedure</w:t>
      </w:r>
    </w:p>
    <w:p w:rsidR="002A6B50" w:rsidRDefault="002A6B50" w:rsidP="002A6B50">
      <w:pPr>
        <w:pStyle w:val="ListParagraph"/>
        <w:numPr>
          <w:ilvl w:val="0"/>
          <w:numId w:val="15"/>
        </w:numPr>
        <w:ind w:left="714" w:hanging="357"/>
        <w:contextualSpacing w:val="0"/>
        <w:rPr>
          <w:rFonts w:cs="Times New Roman"/>
        </w:rPr>
      </w:pPr>
      <w:r>
        <w:rPr>
          <w:rFonts w:cs="Times New Roman"/>
        </w:rPr>
        <w:t>To 0.05 g</w:t>
      </w:r>
      <w:r w:rsidRPr="006F543E">
        <w:rPr>
          <w:rFonts w:cs="Times New Roman"/>
        </w:rPr>
        <w:t xml:space="preserve"> of d-glucose in a test tube add </w:t>
      </w:r>
      <w:r>
        <w:rPr>
          <w:rFonts w:cs="Times New Roman"/>
        </w:rPr>
        <w:t>0.05 g</w:t>
      </w:r>
      <w:r w:rsidRPr="006F543E">
        <w:rPr>
          <w:rFonts w:cs="Times New Roman"/>
        </w:rPr>
        <w:t xml:space="preserve"> </w:t>
      </w:r>
      <w:r>
        <w:rPr>
          <w:rFonts w:cs="Times New Roman"/>
        </w:rPr>
        <w:t>of an amino acid</w:t>
      </w:r>
      <w:r w:rsidRPr="006F543E">
        <w:rPr>
          <w:rFonts w:cs="Times New Roman"/>
        </w:rPr>
        <w:t xml:space="preserve"> </w:t>
      </w:r>
    </w:p>
    <w:p w:rsidR="002A6B50" w:rsidRDefault="002A6B50" w:rsidP="002A6B50">
      <w:pPr>
        <w:pStyle w:val="ListParagraph"/>
        <w:numPr>
          <w:ilvl w:val="0"/>
          <w:numId w:val="15"/>
        </w:numPr>
        <w:ind w:left="714" w:hanging="357"/>
        <w:contextualSpacing w:val="0"/>
        <w:rPr>
          <w:rFonts w:cs="Times New Roman"/>
        </w:rPr>
      </w:pPr>
      <w:r>
        <w:rPr>
          <w:rFonts w:cs="Times New Roman"/>
        </w:rPr>
        <w:t>Add 1.0</w:t>
      </w:r>
      <w:r w:rsidRPr="006F543E">
        <w:rPr>
          <w:rFonts w:cs="Times New Roman"/>
        </w:rPr>
        <w:t xml:space="preserve"> ml of distilled water. Mix thoroughly.</w:t>
      </w:r>
      <w:r>
        <w:rPr>
          <w:rFonts w:cs="Times New Roman"/>
        </w:rPr>
        <w:t xml:space="preserve"> Cover the top with aluminium foil.</w:t>
      </w:r>
    </w:p>
    <w:p w:rsidR="002A6B50" w:rsidRPr="006F543E" w:rsidRDefault="002A6B50" w:rsidP="002A6B50">
      <w:pPr>
        <w:pStyle w:val="ListParagraph"/>
        <w:numPr>
          <w:ilvl w:val="0"/>
          <w:numId w:val="15"/>
        </w:numPr>
        <w:ind w:left="714" w:hanging="357"/>
        <w:contextualSpacing w:val="0"/>
        <w:rPr>
          <w:rFonts w:cs="Times New Roman"/>
        </w:rPr>
      </w:pPr>
      <w:r>
        <w:rPr>
          <w:rFonts w:cs="Times New Roman"/>
        </w:rPr>
        <w:t>Repeat for all your other amino acids</w:t>
      </w:r>
    </w:p>
    <w:p w:rsidR="002A6B50" w:rsidRDefault="002A6B50" w:rsidP="002A6B50">
      <w:pPr>
        <w:pStyle w:val="ListParagraph"/>
        <w:numPr>
          <w:ilvl w:val="0"/>
          <w:numId w:val="15"/>
        </w:numPr>
        <w:ind w:left="714" w:hanging="357"/>
        <w:contextualSpacing w:val="0"/>
        <w:rPr>
          <w:rFonts w:cs="Times New Roman"/>
        </w:rPr>
      </w:pPr>
      <w:r w:rsidRPr="006F543E">
        <w:rPr>
          <w:rFonts w:cs="Times New Roman"/>
        </w:rPr>
        <w:t xml:space="preserve">Smell each mixture and record any sensations. </w:t>
      </w:r>
    </w:p>
    <w:p w:rsidR="002A6B50" w:rsidRDefault="002A6B50" w:rsidP="002A6B50">
      <w:pPr>
        <w:pStyle w:val="ListParagraph"/>
        <w:numPr>
          <w:ilvl w:val="0"/>
          <w:numId w:val="15"/>
        </w:numPr>
        <w:ind w:left="714" w:hanging="357"/>
        <w:contextualSpacing w:val="0"/>
        <w:rPr>
          <w:rFonts w:cs="Times New Roman"/>
        </w:rPr>
      </w:pPr>
      <w:r w:rsidRPr="006F543E">
        <w:rPr>
          <w:rFonts w:cs="Times New Roman"/>
        </w:rPr>
        <w:t xml:space="preserve">Place a piece of heavy aluminium foil over each test tube top and heat the solutions in a water bath at 100°C.  </w:t>
      </w:r>
      <w:r>
        <w:rPr>
          <w:rFonts w:cs="Times New Roman"/>
        </w:rPr>
        <w:t>You will rapidly start to see some of the tubes develpping a yellow-brown colour. L</w:t>
      </w:r>
    </w:p>
    <w:p w:rsidR="002A6B50" w:rsidRDefault="002A6B50" w:rsidP="002A6B50">
      <w:pPr>
        <w:pStyle w:val="ListParagraph"/>
        <w:numPr>
          <w:ilvl w:val="0"/>
          <w:numId w:val="15"/>
        </w:numPr>
        <w:ind w:left="714" w:hanging="357"/>
        <w:contextualSpacing w:val="0"/>
        <w:rPr>
          <w:rFonts w:cs="Times New Roman"/>
        </w:rPr>
      </w:pPr>
      <w:r>
        <w:rPr>
          <w:rFonts w:cs="Times New Roman"/>
        </w:rPr>
        <w:t>Leave the tubes in the water bath for 10 – 15 minutes. Remove them and allow to cool a little. Then examine them.</w:t>
      </w:r>
    </w:p>
    <w:p w:rsidR="002A6B50" w:rsidRDefault="002A6B50" w:rsidP="002A6B50">
      <w:pPr>
        <w:rPr>
          <w:rFonts w:cs="Times New Roman"/>
          <w:b/>
        </w:rPr>
      </w:pPr>
    </w:p>
    <w:p w:rsidR="002A6B50" w:rsidRPr="00E37AA5" w:rsidRDefault="002A6B50" w:rsidP="002A6B50">
      <w:pPr>
        <w:rPr>
          <w:rFonts w:cs="Times New Roman"/>
          <w:b/>
        </w:rPr>
      </w:pPr>
      <w:r w:rsidRPr="00E37AA5">
        <w:rPr>
          <w:rFonts w:cs="Times New Roman"/>
          <w:b/>
        </w:rPr>
        <w:t>Your results</w:t>
      </w:r>
    </w:p>
    <w:p w:rsidR="002A6B50" w:rsidRPr="00E37AA5" w:rsidRDefault="002A6B50" w:rsidP="002A6B50">
      <w:pPr>
        <w:rPr>
          <w:rFonts w:cs="Times New Roman"/>
        </w:rPr>
      </w:pPr>
      <w:r>
        <w:rPr>
          <w:rFonts w:cs="Times New Roman"/>
        </w:rPr>
        <w:t>Qualitative</w:t>
      </w:r>
    </w:p>
    <w:p w:rsidR="002A6B50" w:rsidRPr="006F543E" w:rsidRDefault="002A6B50" w:rsidP="002A6B50">
      <w:pPr>
        <w:pStyle w:val="ListParagraph"/>
        <w:numPr>
          <w:ilvl w:val="0"/>
          <w:numId w:val="16"/>
        </w:numPr>
        <w:contextualSpacing w:val="0"/>
        <w:rPr>
          <w:rFonts w:cs="Times New Roman"/>
        </w:rPr>
      </w:pPr>
      <w:r w:rsidRPr="006F543E">
        <w:rPr>
          <w:rFonts w:cs="Times New Roman"/>
        </w:rPr>
        <w:t xml:space="preserve">Record the odour sensations for each solution (e.g. chocolate-like, potato-like, popcorn-like). </w:t>
      </w:r>
    </w:p>
    <w:p w:rsidR="002A6B50" w:rsidRDefault="002A6B50" w:rsidP="002A6B50">
      <w:pPr>
        <w:pStyle w:val="ListParagraph"/>
        <w:numPr>
          <w:ilvl w:val="0"/>
          <w:numId w:val="16"/>
        </w:numPr>
        <w:ind w:left="714" w:hanging="357"/>
        <w:contextualSpacing w:val="0"/>
        <w:rPr>
          <w:rFonts w:cs="Times New Roman"/>
        </w:rPr>
      </w:pPr>
      <w:r>
        <w:rPr>
          <w:rFonts w:cs="Times New Roman"/>
        </w:rPr>
        <w:t>Record the colour as 0 = non</w:t>
      </w:r>
      <w:r w:rsidRPr="006F543E">
        <w:rPr>
          <w:rFonts w:cs="Times New Roman"/>
        </w:rPr>
        <w:t xml:space="preserve">e, 1 = light yellow, 2 = deep yellow, 3 = brown. </w:t>
      </w:r>
    </w:p>
    <w:p w:rsidR="002A6B50" w:rsidRDefault="002A6B50" w:rsidP="002A6B50">
      <w:pPr>
        <w:pStyle w:val="ListParagraph"/>
        <w:ind w:left="0"/>
        <w:contextualSpacing w:val="0"/>
        <w:rPr>
          <w:rFonts w:cs="Times New Roman"/>
        </w:rPr>
      </w:pPr>
    </w:p>
    <w:p w:rsidR="002A6B50" w:rsidRDefault="002A6B50" w:rsidP="002A6B50">
      <w:pPr>
        <w:pStyle w:val="ListParagraph"/>
        <w:ind w:left="0"/>
        <w:contextualSpacing w:val="0"/>
        <w:rPr>
          <w:rFonts w:cs="Times New Roman"/>
        </w:rPr>
      </w:pPr>
      <w:r>
        <w:rPr>
          <w:rFonts w:cs="Times New Roman"/>
        </w:rPr>
        <w:t>Quantitative</w:t>
      </w:r>
    </w:p>
    <w:p w:rsidR="002A6B50" w:rsidRDefault="002A6B50" w:rsidP="002A6B50">
      <w:pPr>
        <w:pStyle w:val="ListParagraph"/>
        <w:numPr>
          <w:ilvl w:val="0"/>
          <w:numId w:val="17"/>
        </w:numPr>
        <w:contextualSpacing w:val="0"/>
        <w:rPr>
          <w:rFonts w:cs="Times New Roman"/>
        </w:rPr>
      </w:pPr>
      <w:r>
        <w:rPr>
          <w:rFonts w:cs="Times New Roman"/>
        </w:rPr>
        <w:t xml:space="preserve">Dilute your solutions to 5 </w:t>
      </w:r>
      <w:r w:rsidRPr="00E37AA5">
        <w:rPr>
          <w:rFonts w:cs="Times New Roman"/>
        </w:rPr>
        <w:t>cm</w:t>
      </w:r>
      <w:r w:rsidRPr="00E37AA5">
        <w:rPr>
          <w:rFonts w:cs="Times New Roman"/>
          <w:vertAlign w:val="superscript"/>
        </w:rPr>
        <w:t>3</w:t>
      </w:r>
      <w:r>
        <w:rPr>
          <w:rFonts w:cs="Times New Roman"/>
        </w:rPr>
        <w:t xml:space="preserve"> with distilled water.*</w:t>
      </w:r>
    </w:p>
    <w:p w:rsidR="002A6B50" w:rsidRPr="00E37AA5" w:rsidRDefault="002A6B50" w:rsidP="002A6B50">
      <w:pPr>
        <w:pStyle w:val="ListParagraph"/>
        <w:numPr>
          <w:ilvl w:val="0"/>
          <w:numId w:val="17"/>
        </w:numPr>
        <w:contextualSpacing w:val="0"/>
        <w:rPr>
          <w:rFonts w:cs="Times New Roman"/>
        </w:rPr>
      </w:pPr>
      <w:r w:rsidRPr="00E37AA5">
        <w:rPr>
          <w:rFonts w:cs="Times New Roman"/>
        </w:rPr>
        <w:lastRenderedPageBreak/>
        <w:t xml:space="preserve"> Transfer 3 cm</w:t>
      </w:r>
      <w:r w:rsidRPr="00E37AA5">
        <w:rPr>
          <w:rFonts w:cs="Times New Roman"/>
          <w:vertAlign w:val="superscript"/>
        </w:rPr>
        <w:t>3</w:t>
      </w:r>
      <w:r w:rsidRPr="00E37AA5">
        <w:rPr>
          <w:rFonts w:cs="Times New Roman"/>
        </w:rPr>
        <w:t xml:space="preserve"> of each sample to a cuvette and use a colorimeter to determine their absorbance at 400 nm. </w:t>
      </w:r>
      <w:r>
        <w:rPr>
          <w:rFonts w:cs="Times New Roman"/>
        </w:rPr>
        <w:t>(Blue LED on the mystrica colorimeter)</w:t>
      </w:r>
    </w:p>
    <w:p w:rsidR="002A6B50" w:rsidRPr="00E37AA5" w:rsidRDefault="002A6B50" w:rsidP="002A6B50">
      <w:pPr>
        <w:ind w:left="360"/>
        <w:rPr>
          <w:rFonts w:cs="Times New Roman"/>
        </w:rPr>
      </w:pPr>
      <w:r>
        <w:rPr>
          <w:rFonts w:cs="Times New Roman"/>
        </w:rPr>
        <w:t>* some of them, such as arginine and lysine may need</w:t>
      </w:r>
      <w:r w:rsidRPr="00E37AA5">
        <w:rPr>
          <w:rFonts w:cs="Times New Roman"/>
        </w:rPr>
        <w:t xml:space="preserve"> to be diluted</w:t>
      </w:r>
      <w:r>
        <w:rPr>
          <w:rFonts w:cs="Times New Roman"/>
        </w:rPr>
        <w:t xml:space="preserve"> more, possibly quite a lot more.</w:t>
      </w:r>
      <w:r w:rsidRPr="00E37AA5">
        <w:rPr>
          <w:rFonts w:cs="Times New Roman"/>
        </w:rPr>
        <w:t xml:space="preserve"> </w:t>
      </w:r>
    </w:p>
    <w:p w:rsidR="002A6B50" w:rsidRDefault="002A6B50" w:rsidP="002A6B50">
      <w:pPr>
        <w:rPr>
          <w:rFonts w:cs="Times New Roman"/>
          <w:b/>
        </w:rPr>
      </w:pPr>
    </w:p>
    <w:p w:rsidR="002A6B50" w:rsidRDefault="002A6B50" w:rsidP="002A6B50">
      <w:pPr>
        <w:rPr>
          <w:rFonts w:cs="Times New Roman"/>
          <w:b/>
        </w:rPr>
      </w:pPr>
      <w:r w:rsidRPr="00D774BD">
        <w:rPr>
          <w:rFonts w:cs="Times New Roman"/>
          <w:b/>
        </w:rPr>
        <w:t>Health &amp; Safety</w:t>
      </w:r>
    </w:p>
    <w:p w:rsidR="002A6B50" w:rsidRPr="00987116" w:rsidRDefault="002A6B50" w:rsidP="002A6B50">
      <w:pPr>
        <w:rPr>
          <w:rFonts w:cs="Times New Roman"/>
        </w:rPr>
      </w:pPr>
      <w:r w:rsidRPr="00987116">
        <w:rPr>
          <w:rFonts w:cs="Times New Roman"/>
        </w:rPr>
        <w:t>All the reagents are of low hazard.</w:t>
      </w:r>
    </w:p>
    <w:p w:rsidR="0094028A" w:rsidRPr="0094028A" w:rsidRDefault="0094028A" w:rsidP="0094028A">
      <w:pPr>
        <w:rPr>
          <w:rFonts w:cs="Times New Roman"/>
          <w:szCs w:val="24"/>
        </w:rPr>
      </w:pPr>
    </w:p>
    <w:p w:rsidR="00AD21D8" w:rsidRDefault="00AD21D8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987116" w:rsidRDefault="00AD21D8" w:rsidP="00AD21D8">
      <w:pPr>
        <w:pStyle w:val="Title"/>
      </w:pPr>
      <w:r>
        <w:lastRenderedPageBreak/>
        <w:t>Technicians’ Guide</w:t>
      </w:r>
    </w:p>
    <w:p w:rsidR="00AD21D8" w:rsidRPr="00AD21D8" w:rsidRDefault="00AD21D8" w:rsidP="0094028A">
      <w:pPr>
        <w:rPr>
          <w:rFonts w:cs="Times New Roman"/>
          <w:b/>
          <w:szCs w:val="24"/>
        </w:rPr>
      </w:pPr>
      <w:r w:rsidRPr="00AD21D8">
        <w:rPr>
          <w:rFonts w:cs="Times New Roman"/>
          <w:b/>
          <w:szCs w:val="24"/>
        </w:rPr>
        <w:t>Each group will need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AD21D8" w:rsidRPr="00D774BD" w:rsidTr="0009103E">
        <w:tc>
          <w:tcPr>
            <w:tcW w:w="4621" w:type="dxa"/>
          </w:tcPr>
          <w:p w:rsidR="00AD21D8" w:rsidRPr="00D774BD" w:rsidRDefault="00AD21D8" w:rsidP="0009103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D-glucose</w:t>
            </w:r>
          </w:p>
        </w:tc>
        <w:tc>
          <w:tcPr>
            <w:tcW w:w="4621" w:type="dxa"/>
          </w:tcPr>
          <w:p w:rsidR="00AD21D8" w:rsidRPr="00D774BD" w:rsidRDefault="00AD21D8" w:rsidP="0009103E">
            <w:pPr>
              <w:ind w:left="5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L-Amino acids (6 or so different ones)</w:t>
            </w:r>
          </w:p>
        </w:tc>
      </w:tr>
      <w:tr w:rsidR="00AD21D8" w:rsidRPr="00D774BD" w:rsidTr="0009103E">
        <w:tc>
          <w:tcPr>
            <w:tcW w:w="4621" w:type="dxa"/>
          </w:tcPr>
          <w:p w:rsidR="00AD21D8" w:rsidRPr="00D774BD" w:rsidRDefault="00AD21D8" w:rsidP="0009103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6 - Test tubes (or so – one for each amino acid)</w:t>
            </w:r>
          </w:p>
        </w:tc>
        <w:tc>
          <w:tcPr>
            <w:tcW w:w="4621" w:type="dxa"/>
          </w:tcPr>
          <w:p w:rsidR="00AD21D8" w:rsidRPr="00D774BD" w:rsidRDefault="00AD21D8" w:rsidP="0009103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Boiling water bath – very hot rather than actually boiling will do.</w:t>
            </w:r>
          </w:p>
          <w:p w:rsidR="00AD21D8" w:rsidRPr="00D774BD" w:rsidRDefault="00AD21D8" w:rsidP="0009103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D21D8" w:rsidRPr="00D774BD" w:rsidTr="0009103E">
        <w:tc>
          <w:tcPr>
            <w:tcW w:w="4621" w:type="dxa"/>
          </w:tcPr>
          <w:p w:rsidR="00AD21D8" w:rsidRPr="00D774BD" w:rsidRDefault="00AD21D8" w:rsidP="0009103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Sodium carbonate*</w:t>
            </w:r>
          </w:p>
        </w:tc>
        <w:tc>
          <w:tcPr>
            <w:tcW w:w="4621" w:type="dxa"/>
          </w:tcPr>
          <w:p w:rsidR="00AD21D8" w:rsidRPr="00D774BD" w:rsidRDefault="00AD21D8" w:rsidP="0009103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Aluminium foil</w:t>
            </w:r>
          </w:p>
        </w:tc>
      </w:tr>
      <w:tr w:rsidR="00AD21D8" w:rsidRPr="00D774BD" w:rsidTr="0009103E">
        <w:tc>
          <w:tcPr>
            <w:tcW w:w="4621" w:type="dxa"/>
          </w:tcPr>
          <w:p w:rsidR="00AD21D8" w:rsidRPr="00D774BD" w:rsidRDefault="00AD21D8" w:rsidP="0009103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Access to a 2dp balance</w:t>
            </w:r>
          </w:p>
        </w:tc>
        <w:tc>
          <w:tcPr>
            <w:tcW w:w="4621" w:type="dxa"/>
          </w:tcPr>
          <w:p w:rsidR="00AD21D8" w:rsidRPr="00D774BD" w:rsidRDefault="00AD21D8" w:rsidP="0009103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spatula</w:t>
            </w:r>
          </w:p>
        </w:tc>
      </w:tr>
    </w:tbl>
    <w:p w:rsidR="00AD21D8" w:rsidRDefault="00AD21D8" w:rsidP="00AD21D8">
      <w:pPr>
        <w:rPr>
          <w:rFonts w:cs="Times New Roman"/>
          <w:szCs w:val="24"/>
        </w:rPr>
      </w:pPr>
    </w:p>
    <w:p w:rsidR="00AD21D8" w:rsidRPr="0094028A" w:rsidRDefault="00AD21D8" w:rsidP="0094028A">
      <w:pPr>
        <w:rPr>
          <w:rFonts w:cs="Times New Roman"/>
          <w:szCs w:val="24"/>
        </w:rPr>
      </w:pPr>
    </w:p>
    <w:sectPr w:rsidR="00AD21D8" w:rsidRPr="0094028A" w:rsidSect="0005420F">
      <w:pgSz w:w="11906" w:h="16838"/>
      <w:pgMar w:top="1440" w:right="1440" w:bottom="1440" w:left="1440" w:header="708" w:footer="708" w:gutter="0"/>
      <w:pgBorders w:offsetFrom="page">
        <w:top w:val="thinThickSmallGap" w:sz="24" w:space="24" w:color="31849B" w:themeColor="accent5" w:themeShade="BF"/>
        <w:left w:val="thinThickSmallGap" w:sz="24" w:space="24" w:color="31849B" w:themeColor="accent5" w:themeShade="BF"/>
        <w:bottom w:val="thickThinSmallGap" w:sz="24" w:space="24" w:color="31849B" w:themeColor="accent5" w:themeShade="BF"/>
        <w:right w:val="thickThinSmallGap" w:sz="24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1C1B" w:rsidRDefault="002A1C1B" w:rsidP="008732EF">
      <w:pPr>
        <w:spacing w:after="0" w:line="240" w:lineRule="auto"/>
      </w:pPr>
      <w:r>
        <w:separator/>
      </w:r>
    </w:p>
  </w:endnote>
  <w:endnote w:type="continuationSeparator" w:id="1">
    <w:p w:rsidR="002A1C1B" w:rsidRDefault="002A1C1B" w:rsidP="00873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1C1B" w:rsidRDefault="002A1C1B" w:rsidP="008732EF">
      <w:pPr>
        <w:spacing w:after="0" w:line="240" w:lineRule="auto"/>
      </w:pPr>
      <w:r>
        <w:separator/>
      </w:r>
    </w:p>
  </w:footnote>
  <w:footnote w:type="continuationSeparator" w:id="1">
    <w:p w:rsidR="002A1C1B" w:rsidRDefault="002A1C1B" w:rsidP="008732EF">
      <w:pPr>
        <w:spacing w:after="0" w:line="240" w:lineRule="auto"/>
      </w:pPr>
      <w:r>
        <w:continuationSeparator/>
      </w:r>
    </w:p>
  </w:footnote>
  <w:footnote w:id="2">
    <w:p w:rsidR="008732EF" w:rsidRDefault="008732E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4028A">
        <w:rPr>
          <w:rFonts w:cs="Times New Roman"/>
          <w:sz w:val="24"/>
          <w:szCs w:val="24"/>
        </w:rPr>
        <w:t xml:space="preserve">J. Agric. Food Chem.1953, 1, 928. 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2369"/>
    <w:multiLevelType w:val="hybridMultilevel"/>
    <w:tmpl w:val="00006E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1762B"/>
    <w:multiLevelType w:val="hybridMultilevel"/>
    <w:tmpl w:val="3932BE3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481649"/>
    <w:multiLevelType w:val="hybridMultilevel"/>
    <w:tmpl w:val="3502F47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26262B5"/>
    <w:multiLevelType w:val="hybridMultilevel"/>
    <w:tmpl w:val="1090BA4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154EBB"/>
    <w:multiLevelType w:val="hybridMultilevel"/>
    <w:tmpl w:val="2F821C74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DD17BF"/>
    <w:multiLevelType w:val="hybridMultilevel"/>
    <w:tmpl w:val="D61A49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0E30E7"/>
    <w:multiLevelType w:val="hybridMultilevel"/>
    <w:tmpl w:val="1090BA4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E1817E0"/>
    <w:multiLevelType w:val="hybridMultilevel"/>
    <w:tmpl w:val="D61A49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9704E7"/>
    <w:multiLevelType w:val="hybridMultilevel"/>
    <w:tmpl w:val="9BBAB03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6482B45"/>
    <w:multiLevelType w:val="hybridMultilevel"/>
    <w:tmpl w:val="582E5CF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71F4FAB"/>
    <w:multiLevelType w:val="hybridMultilevel"/>
    <w:tmpl w:val="399A3B4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7446E0"/>
    <w:multiLevelType w:val="hybridMultilevel"/>
    <w:tmpl w:val="A9AE2938"/>
    <w:lvl w:ilvl="0" w:tplc="0809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12">
    <w:nsid w:val="4AA71CDE"/>
    <w:multiLevelType w:val="hybridMultilevel"/>
    <w:tmpl w:val="1090BA4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1C1271B"/>
    <w:multiLevelType w:val="hybridMultilevel"/>
    <w:tmpl w:val="D61A49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135E9C"/>
    <w:multiLevelType w:val="hybridMultilevel"/>
    <w:tmpl w:val="859878D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3D30EC2"/>
    <w:multiLevelType w:val="hybridMultilevel"/>
    <w:tmpl w:val="A44ECBE8"/>
    <w:lvl w:ilvl="0" w:tplc="39F8687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color w:val="00206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DD53A2"/>
    <w:multiLevelType w:val="hybridMultilevel"/>
    <w:tmpl w:val="5AD65C72"/>
    <w:lvl w:ilvl="0" w:tplc="A52E6C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D10056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692FEE"/>
    <w:multiLevelType w:val="hybridMultilevel"/>
    <w:tmpl w:val="F58CC28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3"/>
  </w:num>
  <w:num w:numId="5">
    <w:abstractNumId w:val="12"/>
  </w:num>
  <w:num w:numId="6">
    <w:abstractNumId w:val="6"/>
  </w:num>
  <w:num w:numId="7">
    <w:abstractNumId w:val="8"/>
  </w:num>
  <w:num w:numId="8">
    <w:abstractNumId w:val="16"/>
  </w:num>
  <w:num w:numId="9">
    <w:abstractNumId w:val="15"/>
  </w:num>
  <w:num w:numId="10">
    <w:abstractNumId w:val="4"/>
  </w:num>
  <w:num w:numId="11">
    <w:abstractNumId w:val="2"/>
  </w:num>
  <w:num w:numId="12">
    <w:abstractNumId w:val="17"/>
  </w:num>
  <w:num w:numId="13">
    <w:abstractNumId w:val="1"/>
  </w:num>
  <w:num w:numId="14">
    <w:abstractNumId w:val="14"/>
  </w:num>
  <w:num w:numId="15">
    <w:abstractNumId w:val="13"/>
  </w:num>
  <w:num w:numId="16">
    <w:abstractNumId w:val="5"/>
  </w:num>
  <w:num w:numId="17">
    <w:abstractNumId w:val="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ttachedTemplate r:id="rId1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3941"/>
    <w:rsid w:val="000136E7"/>
    <w:rsid w:val="0005420F"/>
    <w:rsid w:val="0007727A"/>
    <w:rsid w:val="00091334"/>
    <w:rsid w:val="000A3430"/>
    <w:rsid w:val="000B3595"/>
    <w:rsid w:val="000B5459"/>
    <w:rsid w:val="000D3941"/>
    <w:rsid w:val="000F0B77"/>
    <w:rsid w:val="001535D3"/>
    <w:rsid w:val="001677C8"/>
    <w:rsid w:val="001B1B53"/>
    <w:rsid w:val="0020237C"/>
    <w:rsid w:val="00241B96"/>
    <w:rsid w:val="00271738"/>
    <w:rsid w:val="00295B88"/>
    <w:rsid w:val="002A1C1B"/>
    <w:rsid w:val="002A6B50"/>
    <w:rsid w:val="002F7477"/>
    <w:rsid w:val="0031157A"/>
    <w:rsid w:val="003579C1"/>
    <w:rsid w:val="003710C3"/>
    <w:rsid w:val="00381B5A"/>
    <w:rsid w:val="00397FD1"/>
    <w:rsid w:val="003B2F17"/>
    <w:rsid w:val="003B3C4F"/>
    <w:rsid w:val="003C22F8"/>
    <w:rsid w:val="003C7344"/>
    <w:rsid w:val="00407744"/>
    <w:rsid w:val="004273CA"/>
    <w:rsid w:val="00432D20"/>
    <w:rsid w:val="00462F40"/>
    <w:rsid w:val="00484FC8"/>
    <w:rsid w:val="004952AF"/>
    <w:rsid w:val="004A4A8E"/>
    <w:rsid w:val="004C3C59"/>
    <w:rsid w:val="005472C6"/>
    <w:rsid w:val="0055692F"/>
    <w:rsid w:val="00570FC0"/>
    <w:rsid w:val="005839B8"/>
    <w:rsid w:val="005A23E3"/>
    <w:rsid w:val="00632C60"/>
    <w:rsid w:val="006F543E"/>
    <w:rsid w:val="00706616"/>
    <w:rsid w:val="00783E3B"/>
    <w:rsid w:val="007E694D"/>
    <w:rsid w:val="007F2966"/>
    <w:rsid w:val="008260F9"/>
    <w:rsid w:val="00832E71"/>
    <w:rsid w:val="00840DDB"/>
    <w:rsid w:val="008732EF"/>
    <w:rsid w:val="008929EF"/>
    <w:rsid w:val="008C2B9E"/>
    <w:rsid w:val="008D6B4B"/>
    <w:rsid w:val="008F36AC"/>
    <w:rsid w:val="0094028A"/>
    <w:rsid w:val="00952633"/>
    <w:rsid w:val="009701B7"/>
    <w:rsid w:val="00987116"/>
    <w:rsid w:val="009E7A07"/>
    <w:rsid w:val="00A91F57"/>
    <w:rsid w:val="00A93BF4"/>
    <w:rsid w:val="00AD21D8"/>
    <w:rsid w:val="00AE1A7B"/>
    <w:rsid w:val="00B23F88"/>
    <w:rsid w:val="00B358F7"/>
    <w:rsid w:val="00B77726"/>
    <w:rsid w:val="00B77DAA"/>
    <w:rsid w:val="00B92F20"/>
    <w:rsid w:val="00B952B0"/>
    <w:rsid w:val="00BD53AB"/>
    <w:rsid w:val="00C60406"/>
    <w:rsid w:val="00C8774A"/>
    <w:rsid w:val="00D1237B"/>
    <w:rsid w:val="00D774BD"/>
    <w:rsid w:val="00D93386"/>
    <w:rsid w:val="00DB3D5B"/>
    <w:rsid w:val="00E37AA5"/>
    <w:rsid w:val="00EC1356"/>
    <w:rsid w:val="00ED5B06"/>
    <w:rsid w:val="00ED7DBC"/>
    <w:rsid w:val="00F4136D"/>
    <w:rsid w:val="00F5243C"/>
    <w:rsid w:val="00F935B5"/>
    <w:rsid w:val="00F97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57A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157A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157A"/>
    <w:pPr>
      <w:keepNext/>
      <w:keepLines/>
      <w:spacing w:before="200" w:after="0"/>
      <w:outlineLvl w:val="1"/>
    </w:pPr>
    <w:rPr>
      <w:rFonts w:eastAsiaTheme="majorEastAsia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157A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1157A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1157A"/>
    <w:rPr>
      <w:rFonts w:ascii="Times New Roman" w:eastAsiaTheme="majorEastAsia" w:hAnsi="Times New Roman" w:cstheme="majorBidi"/>
      <w:b/>
      <w:bCs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3115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157A"/>
    <w:rPr>
      <w:rFonts w:ascii="Times New Roman" w:eastAsiaTheme="majorEastAsia" w:hAnsi="Times New Roman" w:cstheme="majorBidi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157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1157A"/>
    <w:rPr>
      <w:rFonts w:asciiTheme="majorHAnsi" w:eastAsiaTheme="majorEastAsia" w:hAnsiTheme="majorHAnsi" w:cstheme="majorBidi"/>
      <w:i/>
      <w:iCs/>
      <w:spacing w:val="15"/>
      <w:sz w:val="28"/>
      <w:szCs w:val="24"/>
    </w:rPr>
  </w:style>
  <w:style w:type="paragraph" w:styleId="ListParagraph">
    <w:name w:val="List Paragraph"/>
    <w:basedOn w:val="Normal"/>
    <w:uiPriority w:val="34"/>
    <w:qFormat/>
    <w:rsid w:val="00462F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0B77"/>
    <w:rPr>
      <w:color w:val="0000FF" w:themeColor="hyperlink"/>
      <w:u w:val="single"/>
    </w:rPr>
  </w:style>
  <w:style w:type="paragraph" w:customStyle="1" w:styleId="Default">
    <w:name w:val="Default"/>
    <w:rsid w:val="000D39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D39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7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4BD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32E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32EF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32E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3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95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1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1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1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6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2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9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3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8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4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6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5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oc\AppData\Roaming\Microsoft\Templates\Standa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69E3EF-142E-4574-8CDF-3DAB2D36F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Standard.dotx</Template>
  <TotalTime>52</TotalTime>
  <Pages>7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Lloyd</dc:creator>
  <cp:lastModifiedBy>esoc</cp:lastModifiedBy>
  <cp:revision>18</cp:revision>
  <cp:lastPrinted>2015-06-13T12:06:00Z</cp:lastPrinted>
  <dcterms:created xsi:type="dcterms:W3CDTF">2015-05-13T11:53:00Z</dcterms:created>
  <dcterms:modified xsi:type="dcterms:W3CDTF">2015-10-29T12:05:00Z</dcterms:modified>
</cp:coreProperties>
</file>