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18BFE11E" w:rsidR="000574C2" w:rsidRDefault="001A29B8" w:rsidP="000574C2">
            <w:r w:rsidRPr="004E4ABB">
              <w:t>Determination of an Equilibrium Constant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EC4F625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</w:t>
            </w:r>
            <w:r w:rsidR="00974F32">
              <w:t>October</w:t>
            </w:r>
            <w:r>
              <w:t xml:space="preserve">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E31E65" w14:paraId="6B628DC7" w14:textId="77777777" w:rsidTr="00BB13B1">
        <w:trPr>
          <w:trHeight w:val="709"/>
        </w:trPr>
        <w:tc>
          <w:tcPr>
            <w:tcW w:w="3256" w:type="dxa"/>
          </w:tcPr>
          <w:p w14:paraId="114BD152" w14:textId="1F3323E3" w:rsidR="00E31E65" w:rsidRDefault="009763F5" w:rsidP="00E15602">
            <w:r>
              <w:t xml:space="preserve">Iron II sulphate </w:t>
            </w:r>
            <w:r w:rsidR="00ED6B7E">
              <w:t>is harmful if swallowed and a skin/eye irritant.</w:t>
            </w:r>
          </w:p>
          <w:p w14:paraId="4DE62C51" w14:textId="77777777" w:rsidR="00D22993" w:rsidRDefault="00D22993" w:rsidP="00E15602"/>
          <w:p w14:paraId="07F47949" w14:textId="2C86E404" w:rsidR="00ED6B7E" w:rsidRDefault="00ED6B7E" w:rsidP="00E15602">
            <w:r>
              <w:t xml:space="preserve">The </w:t>
            </w:r>
            <w:r w:rsidR="00D22993">
              <w:t xml:space="preserve">0.1 </w:t>
            </w:r>
            <w:r w:rsidR="00D22993" w:rsidRPr="00EB5333">
              <w:t>mol l</w:t>
            </w:r>
            <w:r w:rsidR="00D22993" w:rsidRPr="00EB5333">
              <w:rPr>
                <w:vertAlign w:val="superscript"/>
              </w:rPr>
              <w:t>-1</w:t>
            </w:r>
            <w:r w:rsidR="00D22993" w:rsidRPr="00EB5333">
              <w:t xml:space="preserve"> </w:t>
            </w:r>
            <w:r w:rsidR="00D22993">
              <w:t>solution is of no significant hazard.</w:t>
            </w:r>
          </w:p>
          <w:p w14:paraId="1B6DE719" w14:textId="757E81F0" w:rsidR="00ED6B7E" w:rsidRPr="005E10D3" w:rsidRDefault="00ED6B7E" w:rsidP="00E15602"/>
        </w:tc>
        <w:tc>
          <w:tcPr>
            <w:tcW w:w="2409" w:type="dxa"/>
          </w:tcPr>
          <w:p w14:paraId="685597AD" w14:textId="0DF18253" w:rsidR="00E31E65" w:rsidRPr="00183B4B" w:rsidRDefault="00ED6B7E" w:rsidP="00176458">
            <w:r>
              <w:t>T</w:t>
            </w:r>
            <w:r w:rsidR="00176458" w:rsidRPr="004E4ABB">
              <w:t xml:space="preserve">echnician while preparing </w:t>
            </w:r>
            <w:r>
              <w:t>solution by splashing</w:t>
            </w:r>
          </w:p>
        </w:tc>
        <w:tc>
          <w:tcPr>
            <w:tcW w:w="5783" w:type="dxa"/>
          </w:tcPr>
          <w:p w14:paraId="34A8D323" w14:textId="7588E12B" w:rsidR="00E31E65" w:rsidRPr="00B24A39" w:rsidRDefault="00ED6B7E" w:rsidP="005B746F">
            <w:r>
              <w:t>Wear eye protection and consider gloves.</w:t>
            </w:r>
          </w:p>
        </w:tc>
        <w:tc>
          <w:tcPr>
            <w:tcW w:w="1134" w:type="dxa"/>
          </w:tcPr>
          <w:p w14:paraId="4BB8AF72" w14:textId="77777777" w:rsidR="00E31E65" w:rsidRDefault="00E31E65" w:rsidP="00E31E65"/>
        </w:tc>
        <w:tc>
          <w:tcPr>
            <w:tcW w:w="993" w:type="dxa"/>
          </w:tcPr>
          <w:p w14:paraId="072F7811" w14:textId="77777777" w:rsidR="00E31E65" w:rsidRDefault="00E31E65" w:rsidP="00E31E65"/>
        </w:tc>
        <w:tc>
          <w:tcPr>
            <w:tcW w:w="708" w:type="dxa"/>
          </w:tcPr>
          <w:p w14:paraId="431DDAE0" w14:textId="77777777" w:rsidR="00E31E65" w:rsidRDefault="00E31E65" w:rsidP="00E31E65"/>
        </w:tc>
      </w:tr>
      <w:tr w:rsidR="00E31E65" w14:paraId="401440C6" w14:textId="77777777" w:rsidTr="00BB13B1">
        <w:trPr>
          <w:trHeight w:val="709"/>
        </w:trPr>
        <w:tc>
          <w:tcPr>
            <w:tcW w:w="3256" w:type="dxa"/>
          </w:tcPr>
          <w:p w14:paraId="32707F94" w14:textId="1BB0F97C" w:rsidR="00E31E65" w:rsidRDefault="00D22993" w:rsidP="00EB4C84">
            <w:r>
              <w:t>Silver nitrate</w:t>
            </w:r>
            <w:r w:rsidR="00EB4C84" w:rsidRPr="004E4ABB">
              <w:t xml:space="preserve"> is corrosive</w:t>
            </w:r>
            <w:r w:rsidR="00F36AE1">
              <w:t xml:space="preserve"> to skin and eyes.</w:t>
            </w:r>
          </w:p>
          <w:p w14:paraId="6F5FD918" w14:textId="77777777" w:rsidR="00623A2A" w:rsidRDefault="00623A2A" w:rsidP="00EB4C84"/>
          <w:p w14:paraId="43EF49CB" w14:textId="3C8C0DA2" w:rsidR="00F36AE1" w:rsidRPr="005E10D3" w:rsidRDefault="009E29DC" w:rsidP="00EB4C84">
            <w:r>
              <w:t>The</w:t>
            </w:r>
            <w:r w:rsidR="00623A2A">
              <w:t xml:space="preserve"> 0.1 </w:t>
            </w:r>
            <w:r w:rsidR="00623A2A" w:rsidRPr="00EB5333">
              <w:t>mol l</w:t>
            </w:r>
            <w:r w:rsidR="00623A2A" w:rsidRPr="00EB5333">
              <w:rPr>
                <w:vertAlign w:val="superscript"/>
              </w:rPr>
              <w:t>-1</w:t>
            </w:r>
            <w:r w:rsidR="00623A2A" w:rsidRPr="00EB5333">
              <w:t xml:space="preserve"> </w:t>
            </w:r>
            <w:r w:rsidR="00623A2A">
              <w:t>solution is a skin/eye irritant.</w:t>
            </w:r>
          </w:p>
        </w:tc>
        <w:tc>
          <w:tcPr>
            <w:tcW w:w="2409" w:type="dxa"/>
          </w:tcPr>
          <w:p w14:paraId="4DEED513" w14:textId="4FCDC464" w:rsidR="00E31E65" w:rsidRPr="00183B4B" w:rsidRDefault="00623A2A" w:rsidP="00805183">
            <w:r>
              <w:t>T</w:t>
            </w:r>
            <w:r w:rsidRPr="004E4ABB">
              <w:t xml:space="preserve">echnician while preparing </w:t>
            </w:r>
            <w:r>
              <w:t>solution</w:t>
            </w:r>
            <w:r>
              <w:t xml:space="preserve"> and teacher/pup</w:t>
            </w:r>
            <w:r w:rsidR="007D680F">
              <w:t>i</w:t>
            </w:r>
            <w:r>
              <w:t>ls carrying out experiment by splashes</w:t>
            </w:r>
          </w:p>
        </w:tc>
        <w:tc>
          <w:tcPr>
            <w:tcW w:w="5783" w:type="dxa"/>
          </w:tcPr>
          <w:p w14:paraId="0F37866D" w14:textId="77777777" w:rsidR="00E31E65" w:rsidRDefault="007C4BBF" w:rsidP="007C4BBF">
            <w:r w:rsidRPr="004E4ABB">
              <w:t>Wear goggles (BS EN 166 3)</w:t>
            </w:r>
            <w:r w:rsidR="00623A2A">
              <w:t xml:space="preserve"> and gloves</w:t>
            </w:r>
            <w:r w:rsidRPr="004E4ABB">
              <w:t xml:space="preserve">. </w:t>
            </w:r>
          </w:p>
          <w:p w14:paraId="2DFF6B02" w14:textId="77777777" w:rsidR="00623A2A" w:rsidRDefault="00623A2A" w:rsidP="007C4BBF"/>
          <w:p w14:paraId="64377E74" w14:textId="77777777" w:rsidR="00623A2A" w:rsidRDefault="00623A2A" w:rsidP="007C4BBF"/>
          <w:p w14:paraId="5E711C0F" w14:textId="42519BAB" w:rsidR="00623A2A" w:rsidRPr="00B24A39" w:rsidRDefault="007D680F" w:rsidP="007C4BBF">
            <w:r>
              <w:t>Wear eye protection and consider gloves.</w:t>
            </w:r>
          </w:p>
        </w:tc>
        <w:tc>
          <w:tcPr>
            <w:tcW w:w="1134" w:type="dxa"/>
          </w:tcPr>
          <w:p w14:paraId="344E4357" w14:textId="77777777" w:rsidR="00E31E65" w:rsidRDefault="00E31E65" w:rsidP="00E31E65"/>
        </w:tc>
        <w:tc>
          <w:tcPr>
            <w:tcW w:w="993" w:type="dxa"/>
          </w:tcPr>
          <w:p w14:paraId="397A3CEB" w14:textId="77777777" w:rsidR="00E31E65" w:rsidRDefault="00E31E65" w:rsidP="00E31E65"/>
        </w:tc>
        <w:tc>
          <w:tcPr>
            <w:tcW w:w="708" w:type="dxa"/>
          </w:tcPr>
          <w:p w14:paraId="217FD4D2" w14:textId="77777777" w:rsidR="00E31E65" w:rsidRDefault="00E31E65" w:rsidP="00E31E65"/>
        </w:tc>
      </w:tr>
      <w:tr w:rsidR="007C4BBF" w14:paraId="2035EDDF" w14:textId="77777777" w:rsidTr="00BB13B1">
        <w:trPr>
          <w:trHeight w:val="709"/>
        </w:trPr>
        <w:tc>
          <w:tcPr>
            <w:tcW w:w="3256" w:type="dxa"/>
          </w:tcPr>
          <w:p w14:paraId="436A456E" w14:textId="77777777" w:rsidR="007C4BBF" w:rsidRDefault="009E29DC" w:rsidP="00EB4C84">
            <w:r>
              <w:t>Potassium thiocyanate is harmful by all routes and releases toxic gases in contact with strong acids.</w:t>
            </w:r>
          </w:p>
          <w:p w14:paraId="289F4FBA" w14:textId="77777777" w:rsidR="009E29DC" w:rsidRDefault="009E29DC" w:rsidP="00EB4C84"/>
          <w:p w14:paraId="02C2515D" w14:textId="68995F87" w:rsidR="009E29DC" w:rsidRDefault="009E29DC" w:rsidP="009E29DC">
            <w:r>
              <w:t>The 0.</w:t>
            </w:r>
            <w:r>
              <w:t>02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solution is of no significant hazard.</w:t>
            </w:r>
          </w:p>
          <w:p w14:paraId="6AC962F9" w14:textId="05299E01" w:rsidR="009E29DC" w:rsidRPr="004E4ABB" w:rsidRDefault="009E29DC" w:rsidP="00EB4C84"/>
        </w:tc>
        <w:tc>
          <w:tcPr>
            <w:tcW w:w="2409" w:type="dxa"/>
          </w:tcPr>
          <w:p w14:paraId="4AE6C831" w14:textId="517339D5" w:rsidR="007C4BBF" w:rsidRPr="004E4ABB" w:rsidRDefault="009E29DC" w:rsidP="00805183">
            <w:r>
              <w:t>T</w:t>
            </w:r>
            <w:r w:rsidRPr="004E4ABB">
              <w:t xml:space="preserve">echnician while preparing </w:t>
            </w:r>
            <w:r>
              <w:t>solution by splashing</w:t>
            </w:r>
          </w:p>
        </w:tc>
        <w:tc>
          <w:tcPr>
            <w:tcW w:w="5783" w:type="dxa"/>
          </w:tcPr>
          <w:p w14:paraId="129AE2A2" w14:textId="7352C34F" w:rsidR="007C4BBF" w:rsidRPr="004E4ABB" w:rsidRDefault="009E29DC" w:rsidP="007C4BBF">
            <w:r>
              <w:t>Wear eye protection and consider gloves.</w:t>
            </w:r>
            <w:r>
              <w:t xml:space="preserve"> Keep away from acids.</w:t>
            </w:r>
          </w:p>
        </w:tc>
        <w:tc>
          <w:tcPr>
            <w:tcW w:w="1134" w:type="dxa"/>
          </w:tcPr>
          <w:p w14:paraId="5AF52ABB" w14:textId="77777777" w:rsidR="007C4BBF" w:rsidRDefault="007C4BBF" w:rsidP="00E31E65"/>
        </w:tc>
        <w:tc>
          <w:tcPr>
            <w:tcW w:w="993" w:type="dxa"/>
          </w:tcPr>
          <w:p w14:paraId="0A752586" w14:textId="77777777" w:rsidR="007C4BBF" w:rsidRDefault="007C4BBF" w:rsidP="00E31E65"/>
        </w:tc>
        <w:tc>
          <w:tcPr>
            <w:tcW w:w="708" w:type="dxa"/>
          </w:tcPr>
          <w:p w14:paraId="4B2D3423" w14:textId="77777777" w:rsidR="007C4BBF" w:rsidRDefault="007C4BBF" w:rsidP="00E31E6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236C47A" w14:textId="77777777" w:rsidR="00391B57" w:rsidRDefault="00391B57" w:rsidP="00391B57"/>
          <w:p w14:paraId="439A0EDC" w14:textId="77777777" w:rsidR="00741A8D" w:rsidRPr="004E4ABB" w:rsidRDefault="00741A8D" w:rsidP="00741A8D">
            <w:pPr>
              <w:rPr>
                <w:b/>
                <w:bCs/>
              </w:rPr>
            </w:pPr>
            <w:r w:rsidRPr="004E4ABB">
              <w:rPr>
                <w:b/>
                <w:bCs/>
              </w:rPr>
              <w:t>Description of activity:</w:t>
            </w:r>
          </w:p>
          <w:p w14:paraId="0AC9A4E3" w14:textId="63188407" w:rsidR="00741A8D" w:rsidRPr="00741A8D" w:rsidRDefault="00741A8D" w:rsidP="00DD535A">
            <w:pPr>
              <w:numPr>
                <w:ilvl w:val="0"/>
                <w:numId w:val="2"/>
              </w:numPr>
              <w:rPr>
                <w:bCs/>
              </w:rPr>
            </w:pPr>
            <w:r w:rsidRPr="00741A8D">
              <w:rPr>
                <w:bCs/>
              </w:rPr>
              <w:t xml:space="preserve"> </w:t>
            </w:r>
            <w:r w:rsidR="00DD535A">
              <w:rPr>
                <w:bCs/>
              </w:rPr>
              <w:t>Iron I</w:t>
            </w:r>
            <w:r w:rsidR="006F3D78">
              <w:rPr>
                <w:bCs/>
              </w:rPr>
              <w:t>I</w:t>
            </w:r>
            <w:r w:rsidR="00DD535A">
              <w:rPr>
                <w:bCs/>
              </w:rPr>
              <w:t xml:space="preserve"> sulphate and silver nitrate solutions are mixed and left for a week for the slow reaction to proceed to equilibrium</w:t>
            </w:r>
          </w:p>
          <w:p w14:paraId="74C75BD3" w14:textId="77777777" w:rsidR="00741A8D" w:rsidRPr="00741A8D" w:rsidRDefault="00741A8D" w:rsidP="00741A8D">
            <w:pPr>
              <w:rPr>
                <w:bCs/>
              </w:rPr>
            </w:pPr>
          </w:p>
          <w:p w14:paraId="597ECB11" w14:textId="649B6606" w:rsidR="00741A8D" w:rsidRPr="00741A8D" w:rsidRDefault="00DD535A" w:rsidP="00741A8D">
            <w:pPr>
              <w:ind w:left="720"/>
              <w:rPr>
                <w:bCs/>
              </w:rPr>
            </w:pPr>
            <w:r>
              <w:rPr>
                <w:bCs/>
              </w:rPr>
              <w:t xml:space="preserve">The mixture is titrated against potassium thiocyanate solution to </w:t>
            </w:r>
            <w:r w:rsidR="00024D29">
              <w:rPr>
                <w:bCs/>
              </w:rPr>
              <w:t>determine the silver concentration from which it is possible to calculate the iron concentration.</w:t>
            </w:r>
          </w:p>
          <w:p w14:paraId="5EB5F045" w14:textId="01D42B9E" w:rsidR="00391B57" w:rsidRPr="00433122" w:rsidRDefault="00391B57" w:rsidP="00144D1F">
            <w:pPr>
              <w:ind w:firstLine="21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6377BD75" w14:textId="7B898B92" w:rsidR="00682428" w:rsidRDefault="00EC460B" w:rsidP="001A51FE">
            <w:r>
              <w:t>Be careful not to distur</w:t>
            </w:r>
            <w:r w:rsidR="006F3D78">
              <w:t>b</w:t>
            </w:r>
            <w:r>
              <w:t xml:space="preserve"> the sediment when extracting samples to titrate.</w:t>
            </w:r>
          </w:p>
          <w:p w14:paraId="25B98F62" w14:textId="63703A41" w:rsidR="002046BF" w:rsidRDefault="00682428" w:rsidP="001A51FE">
            <w:r>
              <w:t>Once equilibrated, the mixture will keep almost indefinitely in the dark.</w:t>
            </w:r>
          </w:p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9F2D4" w14:textId="77777777" w:rsidR="00A83059" w:rsidRDefault="00A83059">
      <w:r>
        <w:separator/>
      </w:r>
    </w:p>
  </w:endnote>
  <w:endnote w:type="continuationSeparator" w:id="0">
    <w:p w14:paraId="2D3E6655" w14:textId="77777777" w:rsidR="00A83059" w:rsidRDefault="00A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6F3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6F3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BF48B" w14:textId="77777777" w:rsidR="00A83059" w:rsidRDefault="00A83059">
      <w:r>
        <w:separator/>
      </w:r>
    </w:p>
  </w:footnote>
  <w:footnote w:type="continuationSeparator" w:id="0">
    <w:p w14:paraId="764D5CFA" w14:textId="77777777" w:rsidR="00A83059" w:rsidRDefault="00A8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6F3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6F3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6F3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753E6"/>
    <w:multiLevelType w:val="hybridMultilevel"/>
    <w:tmpl w:val="3252D90A"/>
    <w:lvl w:ilvl="0" w:tplc="E6562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24D29"/>
    <w:rsid w:val="00032A3D"/>
    <w:rsid w:val="00035F39"/>
    <w:rsid w:val="000411AA"/>
    <w:rsid w:val="00041C0C"/>
    <w:rsid w:val="000574C2"/>
    <w:rsid w:val="00062360"/>
    <w:rsid w:val="00063E3E"/>
    <w:rsid w:val="00073352"/>
    <w:rsid w:val="00075F36"/>
    <w:rsid w:val="00077AC3"/>
    <w:rsid w:val="00081F7B"/>
    <w:rsid w:val="00082A42"/>
    <w:rsid w:val="000A0CAD"/>
    <w:rsid w:val="000A1F0E"/>
    <w:rsid w:val="000C20CB"/>
    <w:rsid w:val="000C6F4A"/>
    <w:rsid w:val="000D33F3"/>
    <w:rsid w:val="000E7345"/>
    <w:rsid w:val="000F100E"/>
    <w:rsid w:val="000F6275"/>
    <w:rsid w:val="00103E9E"/>
    <w:rsid w:val="00107A90"/>
    <w:rsid w:val="00112662"/>
    <w:rsid w:val="00125C63"/>
    <w:rsid w:val="00137C36"/>
    <w:rsid w:val="00144D1F"/>
    <w:rsid w:val="00156F80"/>
    <w:rsid w:val="00161DD1"/>
    <w:rsid w:val="00176458"/>
    <w:rsid w:val="00176B56"/>
    <w:rsid w:val="001800B9"/>
    <w:rsid w:val="00183B4B"/>
    <w:rsid w:val="001861EA"/>
    <w:rsid w:val="001A13AE"/>
    <w:rsid w:val="001A29B8"/>
    <w:rsid w:val="001A4C37"/>
    <w:rsid w:val="001A51FE"/>
    <w:rsid w:val="001A75B0"/>
    <w:rsid w:val="001B6F2C"/>
    <w:rsid w:val="001D1C70"/>
    <w:rsid w:val="001D5AF0"/>
    <w:rsid w:val="001E0398"/>
    <w:rsid w:val="001E2A1B"/>
    <w:rsid w:val="001E5848"/>
    <w:rsid w:val="001F0392"/>
    <w:rsid w:val="001F4C41"/>
    <w:rsid w:val="001F5077"/>
    <w:rsid w:val="00203E95"/>
    <w:rsid w:val="002046BF"/>
    <w:rsid w:val="00204988"/>
    <w:rsid w:val="00210072"/>
    <w:rsid w:val="00227CE6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2F150E"/>
    <w:rsid w:val="0032522D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31BF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032"/>
    <w:rsid w:val="003D2361"/>
    <w:rsid w:val="003D2DD0"/>
    <w:rsid w:val="003E431B"/>
    <w:rsid w:val="003F3EA1"/>
    <w:rsid w:val="004017D9"/>
    <w:rsid w:val="00401BF7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38F6"/>
    <w:rsid w:val="00496B47"/>
    <w:rsid w:val="004A2034"/>
    <w:rsid w:val="004C3D20"/>
    <w:rsid w:val="004C4DCD"/>
    <w:rsid w:val="004C703A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34EE"/>
    <w:rsid w:val="005B41E3"/>
    <w:rsid w:val="005B746F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15035"/>
    <w:rsid w:val="006232B8"/>
    <w:rsid w:val="00623A2A"/>
    <w:rsid w:val="00635049"/>
    <w:rsid w:val="00635AF4"/>
    <w:rsid w:val="00652106"/>
    <w:rsid w:val="006529D9"/>
    <w:rsid w:val="0065328D"/>
    <w:rsid w:val="00680BD2"/>
    <w:rsid w:val="00682428"/>
    <w:rsid w:val="00684FAC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3D78"/>
    <w:rsid w:val="006F57EA"/>
    <w:rsid w:val="006F76EC"/>
    <w:rsid w:val="007031FF"/>
    <w:rsid w:val="0071543A"/>
    <w:rsid w:val="007210D6"/>
    <w:rsid w:val="00721FAE"/>
    <w:rsid w:val="00725C9B"/>
    <w:rsid w:val="00741A8D"/>
    <w:rsid w:val="007437A9"/>
    <w:rsid w:val="00746005"/>
    <w:rsid w:val="007473FA"/>
    <w:rsid w:val="007474C7"/>
    <w:rsid w:val="007474DF"/>
    <w:rsid w:val="00750648"/>
    <w:rsid w:val="00752E9D"/>
    <w:rsid w:val="00761FE7"/>
    <w:rsid w:val="00763E0A"/>
    <w:rsid w:val="007663E7"/>
    <w:rsid w:val="00767633"/>
    <w:rsid w:val="007752F4"/>
    <w:rsid w:val="007754F2"/>
    <w:rsid w:val="00777871"/>
    <w:rsid w:val="00783FD5"/>
    <w:rsid w:val="0078467D"/>
    <w:rsid w:val="00784F60"/>
    <w:rsid w:val="007A237B"/>
    <w:rsid w:val="007A5D4D"/>
    <w:rsid w:val="007B439F"/>
    <w:rsid w:val="007B4D56"/>
    <w:rsid w:val="007C4BBF"/>
    <w:rsid w:val="007C5619"/>
    <w:rsid w:val="007D1320"/>
    <w:rsid w:val="007D1ABA"/>
    <w:rsid w:val="007D680F"/>
    <w:rsid w:val="007F3A43"/>
    <w:rsid w:val="007F5E3B"/>
    <w:rsid w:val="00804809"/>
    <w:rsid w:val="00805183"/>
    <w:rsid w:val="0081148D"/>
    <w:rsid w:val="008144F8"/>
    <w:rsid w:val="00815B75"/>
    <w:rsid w:val="00836134"/>
    <w:rsid w:val="008378DA"/>
    <w:rsid w:val="00841D3F"/>
    <w:rsid w:val="008565CE"/>
    <w:rsid w:val="00860CBC"/>
    <w:rsid w:val="008621CB"/>
    <w:rsid w:val="00876F92"/>
    <w:rsid w:val="00877A0B"/>
    <w:rsid w:val="008828A1"/>
    <w:rsid w:val="00891A92"/>
    <w:rsid w:val="0089423E"/>
    <w:rsid w:val="0089525B"/>
    <w:rsid w:val="00896FA3"/>
    <w:rsid w:val="008A0857"/>
    <w:rsid w:val="008A69B0"/>
    <w:rsid w:val="008B3D8B"/>
    <w:rsid w:val="008C6C33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4F32"/>
    <w:rsid w:val="009763F5"/>
    <w:rsid w:val="00976D0E"/>
    <w:rsid w:val="009827B7"/>
    <w:rsid w:val="00982EAE"/>
    <w:rsid w:val="00997515"/>
    <w:rsid w:val="009A086A"/>
    <w:rsid w:val="009A1E87"/>
    <w:rsid w:val="009B4517"/>
    <w:rsid w:val="009C11AE"/>
    <w:rsid w:val="009C124F"/>
    <w:rsid w:val="009D3B31"/>
    <w:rsid w:val="009E29DC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83059"/>
    <w:rsid w:val="00A928A1"/>
    <w:rsid w:val="00A957DF"/>
    <w:rsid w:val="00AA4034"/>
    <w:rsid w:val="00AA532D"/>
    <w:rsid w:val="00AC48FF"/>
    <w:rsid w:val="00AC59B3"/>
    <w:rsid w:val="00AC7078"/>
    <w:rsid w:val="00AD0A0A"/>
    <w:rsid w:val="00AD0A5C"/>
    <w:rsid w:val="00AD4B81"/>
    <w:rsid w:val="00AE0267"/>
    <w:rsid w:val="00AE38FC"/>
    <w:rsid w:val="00AF1FE4"/>
    <w:rsid w:val="00AF4ABB"/>
    <w:rsid w:val="00AF71DF"/>
    <w:rsid w:val="00B0466B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19D2"/>
    <w:rsid w:val="00B927C5"/>
    <w:rsid w:val="00BA3643"/>
    <w:rsid w:val="00BB13B1"/>
    <w:rsid w:val="00BB1652"/>
    <w:rsid w:val="00BC0B6B"/>
    <w:rsid w:val="00BD6F23"/>
    <w:rsid w:val="00BD76B6"/>
    <w:rsid w:val="00BE68CE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E06AF"/>
    <w:rsid w:val="00CE6E0F"/>
    <w:rsid w:val="00CF2C28"/>
    <w:rsid w:val="00D01A31"/>
    <w:rsid w:val="00D0477D"/>
    <w:rsid w:val="00D13C29"/>
    <w:rsid w:val="00D20938"/>
    <w:rsid w:val="00D22993"/>
    <w:rsid w:val="00D249E1"/>
    <w:rsid w:val="00D24C31"/>
    <w:rsid w:val="00D34A49"/>
    <w:rsid w:val="00D5199B"/>
    <w:rsid w:val="00D542C5"/>
    <w:rsid w:val="00D6462F"/>
    <w:rsid w:val="00D6673B"/>
    <w:rsid w:val="00D80B03"/>
    <w:rsid w:val="00D8744A"/>
    <w:rsid w:val="00D97E73"/>
    <w:rsid w:val="00DB1928"/>
    <w:rsid w:val="00DB2243"/>
    <w:rsid w:val="00DB4B85"/>
    <w:rsid w:val="00DC00A3"/>
    <w:rsid w:val="00DD1C2F"/>
    <w:rsid w:val="00DD535A"/>
    <w:rsid w:val="00DF19A1"/>
    <w:rsid w:val="00DF7BE9"/>
    <w:rsid w:val="00E03DD6"/>
    <w:rsid w:val="00E04601"/>
    <w:rsid w:val="00E15602"/>
    <w:rsid w:val="00E16922"/>
    <w:rsid w:val="00E31E65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4C84"/>
    <w:rsid w:val="00EB7C10"/>
    <w:rsid w:val="00EC121F"/>
    <w:rsid w:val="00EC460B"/>
    <w:rsid w:val="00EC550B"/>
    <w:rsid w:val="00ED1F6D"/>
    <w:rsid w:val="00ED3F4F"/>
    <w:rsid w:val="00ED6B7E"/>
    <w:rsid w:val="00EE129B"/>
    <w:rsid w:val="00EE25DC"/>
    <w:rsid w:val="00EE39DD"/>
    <w:rsid w:val="00EF1909"/>
    <w:rsid w:val="00EF2D12"/>
    <w:rsid w:val="00EF34FF"/>
    <w:rsid w:val="00EF7D57"/>
    <w:rsid w:val="00F07549"/>
    <w:rsid w:val="00F0769C"/>
    <w:rsid w:val="00F2092D"/>
    <w:rsid w:val="00F22EA6"/>
    <w:rsid w:val="00F312BF"/>
    <w:rsid w:val="00F31A31"/>
    <w:rsid w:val="00F35525"/>
    <w:rsid w:val="00F35942"/>
    <w:rsid w:val="00F36AE1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A5DDB"/>
    <w:rsid w:val="00FC28DB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406</cp:revision>
  <dcterms:created xsi:type="dcterms:W3CDTF">2019-11-27T13:54:00Z</dcterms:created>
  <dcterms:modified xsi:type="dcterms:W3CDTF">2020-11-24T14:38:00Z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