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DB4B85" w14:paraId="0ABED3D4" w14:textId="77777777" w:rsidTr="002800A0">
        <w:tc>
          <w:tcPr>
            <w:tcW w:w="3085" w:type="dxa"/>
          </w:tcPr>
          <w:p w14:paraId="415F7095" w14:textId="77777777" w:rsidR="00DB4B85" w:rsidRDefault="00DB4B85" w:rsidP="00DB4B8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29BEC6F4" w:rsidR="00DB4B85" w:rsidRDefault="00353825" w:rsidP="00DB4B85">
            <w:r>
              <w:t>Cyanotypes</w:t>
            </w:r>
            <w:r w:rsidR="006346B2">
              <w:t xml:space="preserve"> </w:t>
            </w:r>
          </w:p>
        </w:tc>
      </w:tr>
      <w:tr w:rsidR="00DB4B85" w14:paraId="0A748382" w14:textId="77777777" w:rsidTr="002800A0">
        <w:tc>
          <w:tcPr>
            <w:tcW w:w="3085" w:type="dxa"/>
          </w:tcPr>
          <w:p w14:paraId="55D11C45" w14:textId="77777777" w:rsidR="00DB4B85" w:rsidRDefault="00DB4B85" w:rsidP="00DB4B8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182497DF" w:rsidR="00DB4B85" w:rsidRDefault="00DB4B85" w:rsidP="00DB4B85">
            <w:r>
              <w:t>06/02/2018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39"/>
        <w:gridCol w:w="2410"/>
        <w:gridCol w:w="5499"/>
        <w:gridCol w:w="1134"/>
        <w:gridCol w:w="993"/>
        <w:gridCol w:w="708"/>
      </w:tblGrid>
      <w:tr w:rsidR="00CC27BB" w14:paraId="21A9275B" w14:textId="77777777" w:rsidTr="00F3791C">
        <w:trPr>
          <w:tblHeader/>
        </w:trPr>
        <w:tc>
          <w:tcPr>
            <w:tcW w:w="3539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10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499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F3791C">
        <w:trPr>
          <w:tblHeader/>
        </w:trPr>
        <w:tc>
          <w:tcPr>
            <w:tcW w:w="3539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10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499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F3791C">
        <w:trPr>
          <w:trHeight w:val="344"/>
        </w:trPr>
        <w:tc>
          <w:tcPr>
            <w:tcW w:w="3539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10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499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FF4892" w14:paraId="0AAC8956" w14:textId="77777777" w:rsidTr="00F3791C">
        <w:trPr>
          <w:trHeight w:val="348"/>
        </w:trPr>
        <w:tc>
          <w:tcPr>
            <w:tcW w:w="3539" w:type="dxa"/>
          </w:tcPr>
          <w:p w14:paraId="2CFAEC60" w14:textId="77777777" w:rsidR="00FF4892" w:rsidRPr="00F3791C" w:rsidRDefault="00FF4892" w:rsidP="002E5A27">
            <w:pPr>
              <w:rPr>
                <w:b/>
                <w:bCs/>
              </w:rPr>
            </w:pPr>
            <w:r w:rsidRPr="00F3791C">
              <w:rPr>
                <w:b/>
                <w:bCs/>
              </w:rPr>
              <w:t>Recipe 1</w:t>
            </w:r>
          </w:p>
        </w:tc>
        <w:tc>
          <w:tcPr>
            <w:tcW w:w="2410" w:type="dxa"/>
          </w:tcPr>
          <w:p w14:paraId="314AEE60" w14:textId="77777777" w:rsidR="00FF4892" w:rsidRDefault="00FF4892" w:rsidP="002E5A27"/>
        </w:tc>
        <w:tc>
          <w:tcPr>
            <w:tcW w:w="5499" w:type="dxa"/>
          </w:tcPr>
          <w:p w14:paraId="22A7A800" w14:textId="77777777" w:rsidR="00FF4892" w:rsidRDefault="00FF4892" w:rsidP="002E5A27"/>
        </w:tc>
        <w:tc>
          <w:tcPr>
            <w:tcW w:w="1134" w:type="dxa"/>
          </w:tcPr>
          <w:p w14:paraId="14E4DAA6" w14:textId="77777777" w:rsidR="00FF4892" w:rsidRDefault="00FF4892" w:rsidP="002E5A27"/>
        </w:tc>
        <w:tc>
          <w:tcPr>
            <w:tcW w:w="993" w:type="dxa"/>
          </w:tcPr>
          <w:p w14:paraId="2AA4D332" w14:textId="77777777" w:rsidR="00FF4892" w:rsidRDefault="00FF4892" w:rsidP="002E5A27"/>
        </w:tc>
        <w:tc>
          <w:tcPr>
            <w:tcW w:w="708" w:type="dxa"/>
          </w:tcPr>
          <w:p w14:paraId="1046E42F" w14:textId="77777777" w:rsidR="00FF4892" w:rsidRDefault="00FF4892" w:rsidP="002E5A27"/>
        </w:tc>
      </w:tr>
      <w:tr w:rsidR="00FF4892" w14:paraId="4649A06E" w14:textId="77777777" w:rsidTr="00F3791C">
        <w:trPr>
          <w:trHeight w:val="709"/>
        </w:trPr>
        <w:tc>
          <w:tcPr>
            <w:tcW w:w="3539" w:type="dxa"/>
          </w:tcPr>
          <w:p w14:paraId="181D6CCE" w14:textId="77777777" w:rsidR="00FF4892" w:rsidRPr="003D716C" w:rsidRDefault="00FF4892" w:rsidP="002E5A27">
            <w:r>
              <w:t>Iron ammonium citrate and potassium hexacyanoferrate III are irritants</w:t>
            </w:r>
          </w:p>
        </w:tc>
        <w:tc>
          <w:tcPr>
            <w:tcW w:w="2410" w:type="dxa"/>
          </w:tcPr>
          <w:p w14:paraId="3BE3D608" w14:textId="77777777" w:rsidR="00FF4892" w:rsidRDefault="00FF4892" w:rsidP="002E5A27">
            <w:r>
              <w:t>Technicians (possibly) pupils while preparing solutions.</w:t>
            </w:r>
          </w:p>
        </w:tc>
        <w:tc>
          <w:tcPr>
            <w:tcW w:w="5499" w:type="dxa"/>
          </w:tcPr>
          <w:p w14:paraId="2E96B76A" w14:textId="77777777" w:rsidR="00FF4892" w:rsidRPr="003D716C" w:rsidRDefault="00FF4892" w:rsidP="002E5A27">
            <w:r>
              <w:t>Wear eye protection. Avoid raising dust.</w:t>
            </w:r>
          </w:p>
        </w:tc>
        <w:tc>
          <w:tcPr>
            <w:tcW w:w="1134" w:type="dxa"/>
          </w:tcPr>
          <w:p w14:paraId="6707346C" w14:textId="77777777" w:rsidR="00FF4892" w:rsidRDefault="00FF4892" w:rsidP="002E5A27"/>
        </w:tc>
        <w:tc>
          <w:tcPr>
            <w:tcW w:w="993" w:type="dxa"/>
          </w:tcPr>
          <w:p w14:paraId="1A73080D" w14:textId="77777777" w:rsidR="00FF4892" w:rsidRDefault="00FF4892" w:rsidP="002E5A27"/>
        </w:tc>
        <w:tc>
          <w:tcPr>
            <w:tcW w:w="708" w:type="dxa"/>
          </w:tcPr>
          <w:p w14:paraId="4A089504" w14:textId="77777777" w:rsidR="00FF4892" w:rsidRDefault="00FF4892" w:rsidP="002E5A27"/>
        </w:tc>
      </w:tr>
      <w:tr w:rsidR="00FF4892" w14:paraId="556FBA36" w14:textId="77777777" w:rsidTr="00F3791C">
        <w:trPr>
          <w:trHeight w:val="709"/>
        </w:trPr>
        <w:tc>
          <w:tcPr>
            <w:tcW w:w="3539" w:type="dxa"/>
          </w:tcPr>
          <w:p w14:paraId="454CBAD7" w14:textId="77777777" w:rsidR="00FF4892" w:rsidRDefault="00FF4892" w:rsidP="002E5A27">
            <w:r>
              <w:t>‘Blueprint’ reagent is of no significant hazard</w:t>
            </w:r>
          </w:p>
        </w:tc>
        <w:tc>
          <w:tcPr>
            <w:tcW w:w="2410" w:type="dxa"/>
          </w:tcPr>
          <w:p w14:paraId="2BA8AA64" w14:textId="77777777" w:rsidR="00FF4892" w:rsidRDefault="00FF4892" w:rsidP="002E5A27"/>
        </w:tc>
        <w:tc>
          <w:tcPr>
            <w:tcW w:w="5499" w:type="dxa"/>
          </w:tcPr>
          <w:p w14:paraId="009D8178" w14:textId="77777777" w:rsidR="00FF4892" w:rsidRDefault="00FF4892" w:rsidP="002E5A27"/>
        </w:tc>
        <w:tc>
          <w:tcPr>
            <w:tcW w:w="1134" w:type="dxa"/>
          </w:tcPr>
          <w:p w14:paraId="357C827B" w14:textId="77777777" w:rsidR="00FF4892" w:rsidRDefault="00FF4892" w:rsidP="002E5A27"/>
        </w:tc>
        <w:tc>
          <w:tcPr>
            <w:tcW w:w="993" w:type="dxa"/>
          </w:tcPr>
          <w:p w14:paraId="04A670C5" w14:textId="77777777" w:rsidR="00FF4892" w:rsidRDefault="00FF4892" w:rsidP="002E5A27"/>
        </w:tc>
        <w:tc>
          <w:tcPr>
            <w:tcW w:w="708" w:type="dxa"/>
          </w:tcPr>
          <w:p w14:paraId="0040EA78" w14:textId="77777777" w:rsidR="00FF4892" w:rsidRDefault="00FF4892" w:rsidP="002E5A27"/>
        </w:tc>
      </w:tr>
      <w:tr w:rsidR="006B4D50" w14:paraId="6B628DC7" w14:textId="77777777" w:rsidTr="00F3791C">
        <w:trPr>
          <w:trHeight w:val="348"/>
        </w:trPr>
        <w:tc>
          <w:tcPr>
            <w:tcW w:w="3539" w:type="dxa"/>
          </w:tcPr>
          <w:p w14:paraId="1B6DE719" w14:textId="070D5A09" w:rsidR="006B4D50" w:rsidRPr="00F3791C" w:rsidRDefault="00FF4892" w:rsidP="006B4D50">
            <w:pPr>
              <w:rPr>
                <w:b/>
                <w:bCs/>
              </w:rPr>
            </w:pPr>
            <w:r w:rsidRPr="00F3791C">
              <w:rPr>
                <w:b/>
                <w:bCs/>
              </w:rPr>
              <w:t xml:space="preserve">Recipe 2 </w:t>
            </w:r>
            <w:r w:rsidR="002E30EF" w:rsidRPr="00F3791C">
              <w:rPr>
                <w:b/>
                <w:bCs/>
              </w:rPr>
              <w:t>Ferro prussiate reagent</w:t>
            </w:r>
          </w:p>
        </w:tc>
        <w:tc>
          <w:tcPr>
            <w:tcW w:w="2410" w:type="dxa"/>
          </w:tcPr>
          <w:p w14:paraId="685597AD" w14:textId="1647D1FF" w:rsidR="006B4D50" w:rsidRPr="00EC550B" w:rsidRDefault="006B4D50" w:rsidP="006B4D50"/>
        </w:tc>
        <w:tc>
          <w:tcPr>
            <w:tcW w:w="5499" w:type="dxa"/>
          </w:tcPr>
          <w:p w14:paraId="34A8D323" w14:textId="291B458C" w:rsidR="006B4D50" w:rsidRPr="00334C42" w:rsidRDefault="006B4D50" w:rsidP="006B4D50"/>
        </w:tc>
        <w:tc>
          <w:tcPr>
            <w:tcW w:w="1134" w:type="dxa"/>
          </w:tcPr>
          <w:p w14:paraId="4BB8AF72" w14:textId="77777777" w:rsidR="006B4D50" w:rsidRDefault="006B4D50" w:rsidP="006B4D50"/>
        </w:tc>
        <w:tc>
          <w:tcPr>
            <w:tcW w:w="993" w:type="dxa"/>
          </w:tcPr>
          <w:p w14:paraId="072F7811" w14:textId="77777777" w:rsidR="006B4D50" w:rsidRDefault="006B4D50" w:rsidP="006B4D50"/>
        </w:tc>
        <w:tc>
          <w:tcPr>
            <w:tcW w:w="708" w:type="dxa"/>
          </w:tcPr>
          <w:p w14:paraId="431DDAE0" w14:textId="77777777" w:rsidR="006B4D50" w:rsidRDefault="006B4D50" w:rsidP="006B4D50"/>
        </w:tc>
      </w:tr>
      <w:tr w:rsidR="002E30EF" w14:paraId="2F085D5F" w14:textId="77777777" w:rsidTr="00F3791C">
        <w:trPr>
          <w:trHeight w:val="709"/>
        </w:trPr>
        <w:tc>
          <w:tcPr>
            <w:tcW w:w="3539" w:type="dxa"/>
          </w:tcPr>
          <w:p w14:paraId="5AAFBDE2" w14:textId="396DE7FF" w:rsidR="002E30EF" w:rsidRDefault="002E30EF" w:rsidP="002E30EF">
            <w:r>
              <w:t>.880 ammonia</w:t>
            </w:r>
            <w:r w:rsidRPr="00AD4F33">
              <w:t xml:space="preserve"> solution is corrosive</w:t>
            </w:r>
            <w:r>
              <w:t xml:space="preserve"> and gives off toxic fumes.</w:t>
            </w:r>
          </w:p>
        </w:tc>
        <w:tc>
          <w:tcPr>
            <w:tcW w:w="2410" w:type="dxa"/>
          </w:tcPr>
          <w:p w14:paraId="23147E2A" w14:textId="4869EB97" w:rsidR="002E30EF" w:rsidRPr="00AD4F33" w:rsidRDefault="002E30EF" w:rsidP="002E30EF">
            <w:r w:rsidRPr="00AD4F33">
              <w:t xml:space="preserve">Technicians, </w:t>
            </w:r>
            <w:r>
              <w:t>while preparing ferro-prussiate reagent.</w:t>
            </w:r>
          </w:p>
        </w:tc>
        <w:tc>
          <w:tcPr>
            <w:tcW w:w="5499" w:type="dxa"/>
          </w:tcPr>
          <w:p w14:paraId="6438DCC9" w14:textId="227FE469" w:rsidR="002E30EF" w:rsidRDefault="002E30EF" w:rsidP="002E30EF">
            <w:r>
              <w:t>Wear nitrile gloves and goggles (BS EN166 3). Handle in a fume cupboard</w:t>
            </w:r>
          </w:p>
        </w:tc>
        <w:tc>
          <w:tcPr>
            <w:tcW w:w="1134" w:type="dxa"/>
          </w:tcPr>
          <w:p w14:paraId="747AE874" w14:textId="77777777" w:rsidR="002E30EF" w:rsidRDefault="002E30EF" w:rsidP="002E30EF"/>
        </w:tc>
        <w:tc>
          <w:tcPr>
            <w:tcW w:w="993" w:type="dxa"/>
          </w:tcPr>
          <w:p w14:paraId="2A349763" w14:textId="77777777" w:rsidR="002E30EF" w:rsidRDefault="002E30EF" w:rsidP="002E30EF"/>
        </w:tc>
        <w:tc>
          <w:tcPr>
            <w:tcW w:w="708" w:type="dxa"/>
          </w:tcPr>
          <w:p w14:paraId="3EA08483" w14:textId="77777777" w:rsidR="002E30EF" w:rsidRDefault="002E30EF" w:rsidP="002E30EF"/>
        </w:tc>
      </w:tr>
      <w:tr w:rsidR="002E30EF" w14:paraId="295B6F1C" w14:textId="77777777" w:rsidTr="00F3791C">
        <w:trPr>
          <w:trHeight w:val="709"/>
        </w:trPr>
        <w:tc>
          <w:tcPr>
            <w:tcW w:w="3539" w:type="dxa"/>
          </w:tcPr>
          <w:p w14:paraId="21B68833" w14:textId="28874FE1" w:rsidR="002E30EF" w:rsidRDefault="002E30EF" w:rsidP="002E30EF">
            <w:r>
              <w:t>Iron III chloride is corrosive</w:t>
            </w:r>
          </w:p>
        </w:tc>
        <w:tc>
          <w:tcPr>
            <w:tcW w:w="2410" w:type="dxa"/>
          </w:tcPr>
          <w:p w14:paraId="7293C8FE" w14:textId="4B27E628" w:rsidR="002E30EF" w:rsidRPr="00AD4F33" w:rsidRDefault="002E30EF" w:rsidP="002E30EF">
            <w:r w:rsidRPr="00AD4F33">
              <w:t xml:space="preserve">Technicians, </w:t>
            </w:r>
            <w:r>
              <w:t>while preparing ferro-prussiate reagent.</w:t>
            </w:r>
          </w:p>
        </w:tc>
        <w:tc>
          <w:tcPr>
            <w:tcW w:w="5499" w:type="dxa"/>
          </w:tcPr>
          <w:p w14:paraId="2A92A885" w14:textId="54B55E80" w:rsidR="002E30EF" w:rsidRDefault="002E30EF" w:rsidP="002E30EF">
            <w:r>
              <w:t>Wear nitrile gloves and goggles (BS EN166 3). Handle in a fume cupboard</w:t>
            </w:r>
          </w:p>
        </w:tc>
        <w:tc>
          <w:tcPr>
            <w:tcW w:w="1134" w:type="dxa"/>
          </w:tcPr>
          <w:p w14:paraId="5757ADB0" w14:textId="77777777" w:rsidR="002E30EF" w:rsidRDefault="002E30EF" w:rsidP="002E30EF"/>
        </w:tc>
        <w:tc>
          <w:tcPr>
            <w:tcW w:w="993" w:type="dxa"/>
          </w:tcPr>
          <w:p w14:paraId="59AF1BB1" w14:textId="77777777" w:rsidR="002E30EF" w:rsidRDefault="002E30EF" w:rsidP="002E30EF"/>
        </w:tc>
        <w:tc>
          <w:tcPr>
            <w:tcW w:w="708" w:type="dxa"/>
          </w:tcPr>
          <w:p w14:paraId="2DC63E94" w14:textId="77777777" w:rsidR="002E30EF" w:rsidRDefault="002E30EF" w:rsidP="002E30EF"/>
        </w:tc>
      </w:tr>
      <w:tr w:rsidR="002E30EF" w14:paraId="73745F49" w14:textId="77777777" w:rsidTr="00F3791C">
        <w:trPr>
          <w:trHeight w:val="709"/>
        </w:trPr>
        <w:tc>
          <w:tcPr>
            <w:tcW w:w="3539" w:type="dxa"/>
          </w:tcPr>
          <w:p w14:paraId="7EB18F31" w14:textId="462E08A6" w:rsidR="002E30EF" w:rsidRPr="003D716C" w:rsidRDefault="002E30EF" w:rsidP="002E30EF">
            <w:r>
              <w:t xml:space="preserve">potassium hexacyanoferrate III </w:t>
            </w:r>
            <w:r>
              <w:t>is</w:t>
            </w:r>
            <w:r>
              <w:t xml:space="preserve"> </w:t>
            </w:r>
            <w:r>
              <w:t xml:space="preserve">an </w:t>
            </w:r>
            <w:r>
              <w:t>irritant</w:t>
            </w:r>
          </w:p>
        </w:tc>
        <w:tc>
          <w:tcPr>
            <w:tcW w:w="2410" w:type="dxa"/>
          </w:tcPr>
          <w:p w14:paraId="7CCF58C9" w14:textId="511B6FD4" w:rsidR="002E30EF" w:rsidRDefault="002E30EF" w:rsidP="002E30EF">
            <w:r>
              <w:t>Technicians (possibly) pupils while preparing solutions.</w:t>
            </w:r>
          </w:p>
        </w:tc>
        <w:tc>
          <w:tcPr>
            <w:tcW w:w="5499" w:type="dxa"/>
          </w:tcPr>
          <w:p w14:paraId="398E1F51" w14:textId="249E0B7B" w:rsidR="002E30EF" w:rsidRPr="003D716C" w:rsidRDefault="002E30EF" w:rsidP="002E30EF">
            <w:r>
              <w:t>Wear eye protection. Avoid raising dust.</w:t>
            </w:r>
          </w:p>
        </w:tc>
        <w:tc>
          <w:tcPr>
            <w:tcW w:w="1134" w:type="dxa"/>
          </w:tcPr>
          <w:p w14:paraId="1C54297D" w14:textId="77777777" w:rsidR="002E30EF" w:rsidRDefault="002E30EF" w:rsidP="002E30EF"/>
        </w:tc>
        <w:tc>
          <w:tcPr>
            <w:tcW w:w="993" w:type="dxa"/>
          </w:tcPr>
          <w:p w14:paraId="63C869B0" w14:textId="77777777" w:rsidR="002E30EF" w:rsidRDefault="002E30EF" w:rsidP="002E30EF"/>
        </w:tc>
        <w:tc>
          <w:tcPr>
            <w:tcW w:w="708" w:type="dxa"/>
          </w:tcPr>
          <w:p w14:paraId="1A8B7781" w14:textId="77777777" w:rsidR="002E30EF" w:rsidRDefault="002E30EF" w:rsidP="002E30EF"/>
        </w:tc>
      </w:tr>
      <w:tr w:rsidR="002E30EF" w14:paraId="08209A36" w14:textId="77777777" w:rsidTr="00F3791C">
        <w:trPr>
          <w:trHeight w:val="709"/>
        </w:trPr>
        <w:tc>
          <w:tcPr>
            <w:tcW w:w="3539" w:type="dxa"/>
          </w:tcPr>
          <w:p w14:paraId="3E974E14" w14:textId="5E2B4400" w:rsidR="002E30EF" w:rsidRDefault="002E30EF" w:rsidP="002E30EF">
            <w:r>
              <w:t>Tartaric acid (</w:t>
            </w:r>
            <w:r w:rsidRPr="00E239BF">
              <w:t>2,3-dihydroxybutanedioic acid</w:t>
            </w:r>
            <w:r>
              <w:t>) causes Eye damage Cat 1</w:t>
            </w:r>
          </w:p>
        </w:tc>
        <w:tc>
          <w:tcPr>
            <w:tcW w:w="2410" w:type="dxa"/>
          </w:tcPr>
          <w:p w14:paraId="4D9B1960" w14:textId="1FEAFAA6" w:rsidR="002E30EF" w:rsidRDefault="002E30EF" w:rsidP="002E30EF">
            <w:r>
              <w:t>Technicians (possibly) pupils while preparing ferro-prussiate reagent.</w:t>
            </w:r>
          </w:p>
        </w:tc>
        <w:tc>
          <w:tcPr>
            <w:tcW w:w="5499" w:type="dxa"/>
          </w:tcPr>
          <w:p w14:paraId="522955FC" w14:textId="75AA3238" w:rsidR="002E30EF" w:rsidRDefault="002E30EF" w:rsidP="002E30EF">
            <w:r>
              <w:t>Wear goggles (BS EN166 3)</w:t>
            </w:r>
          </w:p>
        </w:tc>
        <w:tc>
          <w:tcPr>
            <w:tcW w:w="1134" w:type="dxa"/>
          </w:tcPr>
          <w:p w14:paraId="16D483C9" w14:textId="77777777" w:rsidR="002E30EF" w:rsidRDefault="002E30EF" w:rsidP="002E30EF"/>
        </w:tc>
        <w:tc>
          <w:tcPr>
            <w:tcW w:w="993" w:type="dxa"/>
          </w:tcPr>
          <w:p w14:paraId="71D06453" w14:textId="77777777" w:rsidR="002E30EF" w:rsidRDefault="002E30EF" w:rsidP="002E30EF"/>
        </w:tc>
        <w:tc>
          <w:tcPr>
            <w:tcW w:w="708" w:type="dxa"/>
          </w:tcPr>
          <w:p w14:paraId="62A5A7BB" w14:textId="77777777" w:rsidR="002E30EF" w:rsidRDefault="002E30EF" w:rsidP="002E30EF"/>
        </w:tc>
      </w:tr>
      <w:tr w:rsidR="002E30EF" w14:paraId="464DFC49" w14:textId="77777777" w:rsidTr="00F3791C">
        <w:trPr>
          <w:trHeight w:val="709"/>
        </w:trPr>
        <w:tc>
          <w:tcPr>
            <w:tcW w:w="3539" w:type="dxa"/>
          </w:tcPr>
          <w:p w14:paraId="65429788" w14:textId="5056F02C" w:rsidR="002E30EF" w:rsidRDefault="002E30EF" w:rsidP="002E30EF">
            <w:r>
              <w:lastRenderedPageBreak/>
              <w:t>Ferro prussiate reagent is probably corrosive and harmful*.</w:t>
            </w:r>
          </w:p>
        </w:tc>
        <w:tc>
          <w:tcPr>
            <w:tcW w:w="2410" w:type="dxa"/>
          </w:tcPr>
          <w:p w14:paraId="46BC2980" w14:textId="473D85DC" w:rsidR="002E30EF" w:rsidRDefault="002E30EF" w:rsidP="002E30EF">
            <w:r>
              <w:t xml:space="preserve">Technicians (possibly) pupils while preparing </w:t>
            </w:r>
            <w:r>
              <w:t xml:space="preserve">or using </w:t>
            </w:r>
            <w:r>
              <w:t>solutions.</w:t>
            </w:r>
          </w:p>
        </w:tc>
        <w:tc>
          <w:tcPr>
            <w:tcW w:w="5499" w:type="dxa"/>
          </w:tcPr>
          <w:p w14:paraId="3B90FF53" w14:textId="549E19F7" w:rsidR="002E30EF" w:rsidRDefault="002E30EF" w:rsidP="002E30EF">
            <w:r>
              <w:t>Wear goggles (EN 166 3) and possibly gloves.</w:t>
            </w:r>
          </w:p>
        </w:tc>
        <w:tc>
          <w:tcPr>
            <w:tcW w:w="1134" w:type="dxa"/>
          </w:tcPr>
          <w:p w14:paraId="449FD53D" w14:textId="77777777" w:rsidR="002E30EF" w:rsidRDefault="002E30EF" w:rsidP="002E30EF"/>
        </w:tc>
        <w:tc>
          <w:tcPr>
            <w:tcW w:w="993" w:type="dxa"/>
          </w:tcPr>
          <w:p w14:paraId="42C466F1" w14:textId="77777777" w:rsidR="002E30EF" w:rsidRDefault="002E30EF" w:rsidP="002E30EF"/>
        </w:tc>
        <w:tc>
          <w:tcPr>
            <w:tcW w:w="708" w:type="dxa"/>
          </w:tcPr>
          <w:p w14:paraId="03AE06F8" w14:textId="77777777" w:rsidR="002E30EF" w:rsidRDefault="002E30EF" w:rsidP="002E30EF"/>
        </w:tc>
      </w:tr>
      <w:tr w:rsidR="00FF4892" w14:paraId="6015EAED" w14:textId="77777777" w:rsidTr="00F3791C">
        <w:trPr>
          <w:trHeight w:val="292"/>
        </w:trPr>
        <w:tc>
          <w:tcPr>
            <w:tcW w:w="3539" w:type="dxa"/>
          </w:tcPr>
          <w:p w14:paraId="59DCB8F7" w14:textId="2BDF5BEB" w:rsidR="00FF4892" w:rsidRPr="00F3791C" w:rsidRDefault="00FF4892" w:rsidP="002E30EF">
            <w:pPr>
              <w:rPr>
                <w:b/>
                <w:bCs/>
              </w:rPr>
            </w:pPr>
            <w:r w:rsidRPr="00F3791C">
              <w:rPr>
                <w:b/>
                <w:bCs/>
              </w:rPr>
              <w:t>Recipe 3</w:t>
            </w:r>
          </w:p>
        </w:tc>
        <w:tc>
          <w:tcPr>
            <w:tcW w:w="2410" w:type="dxa"/>
          </w:tcPr>
          <w:p w14:paraId="03B0BB7E" w14:textId="77777777" w:rsidR="00FF4892" w:rsidRDefault="00FF4892" w:rsidP="002E30EF"/>
        </w:tc>
        <w:tc>
          <w:tcPr>
            <w:tcW w:w="5499" w:type="dxa"/>
          </w:tcPr>
          <w:p w14:paraId="2E15897F" w14:textId="77777777" w:rsidR="00FF4892" w:rsidRDefault="00FF4892" w:rsidP="002E30EF"/>
        </w:tc>
        <w:tc>
          <w:tcPr>
            <w:tcW w:w="1134" w:type="dxa"/>
          </w:tcPr>
          <w:p w14:paraId="0B4893DF" w14:textId="77777777" w:rsidR="00FF4892" w:rsidRDefault="00FF4892" w:rsidP="002E30EF"/>
        </w:tc>
        <w:tc>
          <w:tcPr>
            <w:tcW w:w="993" w:type="dxa"/>
          </w:tcPr>
          <w:p w14:paraId="7A5D9778" w14:textId="77777777" w:rsidR="00FF4892" w:rsidRDefault="00FF4892" w:rsidP="002E30EF"/>
        </w:tc>
        <w:tc>
          <w:tcPr>
            <w:tcW w:w="708" w:type="dxa"/>
          </w:tcPr>
          <w:p w14:paraId="7388BF0A" w14:textId="77777777" w:rsidR="00FF4892" w:rsidRDefault="00FF4892" w:rsidP="002E30EF"/>
        </w:tc>
      </w:tr>
      <w:tr w:rsidR="00EB2C50" w14:paraId="0FB36D38" w14:textId="77777777" w:rsidTr="00F3791C">
        <w:trPr>
          <w:trHeight w:val="709"/>
        </w:trPr>
        <w:tc>
          <w:tcPr>
            <w:tcW w:w="3539" w:type="dxa"/>
          </w:tcPr>
          <w:p w14:paraId="63A525ED" w14:textId="3BF343FF" w:rsidR="00EB2C50" w:rsidRDefault="00EB2C50" w:rsidP="002E5A27">
            <w:r>
              <w:t>Ammonium iron III oxalate is harmful if swallowed or in contact with skin</w:t>
            </w:r>
            <w:r w:rsidR="00FF4892">
              <w:t xml:space="preserve"> (As is the potassium salt</w:t>
            </w:r>
          </w:p>
        </w:tc>
        <w:tc>
          <w:tcPr>
            <w:tcW w:w="2410" w:type="dxa"/>
          </w:tcPr>
          <w:p w14:paraId="51ACD06F" w14:textId="77777777" w:rsidR="00EB2C50" w:rsidRDefault="00EB2C50" w:rsidP="002E5A27">
            <w:r>
              <w:t>Technicians (possibly) pupils while preparing solutions.</w:t>
            </w:r>
          </w:p>
        </w:tc>
        <w:tc>
          <w:tcPr>
            <w:tcW w:w="5499" w:type="dxa"/>
          </w:tcPr>
          <w:p w14:paraId="6DC51C45" w14:textId="77777777" w:rsidR="00EB2C50" w:rsidRDefault="00EB2C50" w:rsidP="002E5A27">
            <w:r>
              <w:t xml:space="preserve">Wear nitrile gloves and eye protection). </w:t>
            </w:r>
          </w:p>
        </w:tc>
        <w:tc>
          <w:tcPr>
            <w:tcW w:w="1134" w:type="dxa"/>
          </w:tcPr>
          <w:p w14:paraId="3DDA7D20" w14:textId="77777777" w:rsidR="00EB2C50" w:rsidRDefault="00EB2C50" w:rsidP="002E5A27"/>
        </w:tc>
        <w:tc>
          <w:tcPr>
            <w:tcW w:w="993" w:type="dxa"/>
          </w:tcPr>
          <w:p w14:paraId="01FF0A6C" w14:textId="77777777" w:rsidR="00EB2C50" w:rsidRDefault="00EB2C50" w:rsidP="002E5A27"/>
        </w:tc>
        <w:tc>
          <w:tcPr>
            <w:tcW w:w="708" w:type="dxa"/>
          </w:tcPr>
          <w:p w14:paraId="303F83E3" w14:textId="77777777" w:rsidR="00EB2C50" w:rsidRDefault="00EB2C50" w:rsidP="002E5A27"/>
        </w:tc>
      </w:tr>
      <w:tr w:rsidR="002E30EF" w14:paraId="796FA991" w14:textId="77777777" w:rsidTr="00F3791C">
        <w:trPr>
          <w:trHeight w:val="709"/>
        </w:trPr>
        <w:tc>
          <w:tcPr>
            <w:tcW w:w="3539" w:type="dxa"/>
          </w:tcPr>
          <w:p w14:paraId="1C47AE74" w14:textId="1401516A" w:rsidR="002E30EF" w:rsidRDefault="002E30EF" w:rsidP="002E30EF">
            <w:r>
              <w:t>Sunscreen &amp; cyanotype reagent is of no significant hazard</w:t>
            </w:r>
          </w:p>
        </w:tc>
        <w:tc>
          <w:tcPr>
            <w:tcW w:w="2410" w:type="dxa"/>
          </w:tcPr>
          <w:p w14:paraId="04FC4DCB" w14:textId="77777777" w:rsidR="002E30EF" w:rsidRDefault="002E30EF" w:rsidP="002E30EF"/>
        </w:tc>
        <w:tc>
          <w:tcPr>
            <w:tcW w:w="5499" w:type="dxa"/>
          </w:tcPr>
          <w:p w14:paraId="5E411A51" w14:textId="77777777" w:rsidR="002E30EF" w:rsidRDefault="002E30EF" w:rsidP="002E30EF"/>
        </w:tc>
        <w:tc>
          <w:tcPr>
            <w:tcW w:w="1134" w:type="dxa"/>
          </w:tcPr>
          <w:p w14:paraId="029B90C3" w14:textId="77777777" w:rsidR="002E30EF" w:rsidRDefault="002E30EF" w:rsidP="002E30EF"/>
        </w:tc>
        <w:tc>
          <w:tcPr>
            <w:tcW w:w="993" w:type="dxa"/>
          </w:tcPr>
          <w:p w14:paraId="250D3B91" w14:textId="77777777" w:rsidR="002E30EF" w:rsidRDefault="002E30EF" w:rsidP="002E30EF"/>
        </w:tc>
        <w:tc>
          <w:tcPr>
            <w:tcW w:w="708" w:type="dxa"/>
          </w:tcPr>
          <w:p w14:paraId="07B30266" w14:textId="77777777" w:rsidR="002E30EF" w:rsidRDefault="002E30EF" w:rsidP="002E30EF"/>
        </w:tc>
      </w:tr>
      <w:tr w:rsidR="003728E5" w14:paraId="5A75BE35" w14:textId="77777777" w:rsidTr="003728E5">
        <w:trPr>
          <w:trHeight w:val="418"/>
        </w:trPr>
        <w:tc>
          <w:tcPr>
            <w:tcW w:w="3539" w:type="dxa"/>
          </w:tcPr>
          <w:p w14:paraId="456FB5F0" w14:textId="0D346E53" w:rsidR="003728E5" w:rsidRPr="003728E5" w:rsidRDefault="003728E5" w:rsidP="002E30EF">
            <w:pPr>
              <w:rPr>
                <w:b/>
                <w:bCs/>
              </w:rPr>
            </w:pPr>
            <w:r w:rsidRPr="003728E5">
              <w:rPr>
                <w:b/>
                <w:bCs/>
              </w:rPr>
              <w:t>All</w:t>
            </w:r>
          </w:p>
        </w:tc>
        <w:tc>
          <w:tcPr>
            <w:tcW w:w="2410" w:type="dxa"/>
          </w:tcPr>
          <w:p w14:paraId="69A387D6" w14:textId="77777777" w:rsidR="003728E5" w:rsidRDefault="003728E5" w:rsidP="002E30EF"/>
        </w:tc>
        <w:tc>
          <w:tcPr>
            <w:tcW w:w="5499" w:type="dxa"/>
          </w:tcPr>
          <w:p w14:paraId="419EF9CE" w14:textId="77777777" w:rsidR="003728E5" w:rsidRDefault="003728E5" w:rsidP="002E30EF"/>
        </w:tc>
        <w:tc>
          <w:tcPr>
            <w:tcW w:w="1134" w:type="dxa"/>
          </w:tcPr>
          <w:p w14:paraId="0AE21E3E" w14:textId="77777777" w:rsidR="003728E5" w:rsidRDefault="003728E5" w:rsidP="002E30EF"/>
        </w:tc>
        <w:tc>
          <w:tcPr>
            <w:tcW w:w="993" w:type="dxa"/>
          </w:tcPr>
          <w:p w14:paraId="1FAEF22A" w14:textId="77777777" w:rsidR="003728E5" w:rsidRDefault="003728E5" w:rsidP="002E30EF"/>
        </w:tc>
        <w:tc>
          <w:tcPr>
            <w:tcW w:w="708" w:type="dxa"/>
          </w:tcPr>
          <w:p w14:paraId="158CED3B" w14:textId="77777777" w:rsidR="003728E5" w:rsidRDefault="003728E5" w:rsidP="002E30EF"/>
        </w:tc>
      </w:tr>
      <w:tr w:rsidR="002E30EF" w14:paraId="5FF5F204" w14:textId="77777777" w:rsidTr="00F3791C">
        <w:trPr>
          <w:trHeight w:val="709"/>
        </w:trPr>
        <w:tc>
          <w:tcPr>
            <w:tcW w:w="3539" w:type="dxa"/>
          </w:tcPr>
          <w:p w14:paraId="7824760D" w14:textId="4E3F06F6" w:rsidR="002E30EF" w:rsidRDefault="002E30EF" w:rsidP="002E30EF">
            <w:r>
              <w:t>Uv light, if used, is hazardous.</w:t>
            </w:r>
          </w:p>
        </w:tc>
        <w:tc>
          <w:tcPr>
            <w:tcW w:w="2410" w:type="dxa"/>
          </w:tcPr>
          <w:p w14:paraId="29D1CC0E" w14:textId="62FAF637" w:rsidR="002E30EF" w:rsidRDefault="002E30EF" w:rsidP="002E30EF">
            <w:r>
              <w:t>Pupils, teachers, technicians while image is being exposed.</w:t>
            </w:r>
          </w:p>
        </w:tc>
        <w:tc>
          <w:tcPr>
            <w:tcW w:w="5499" w:type="dxa"/>
          </w:tcPr>
          <w:p w14:paraId="708E0E53" w14:textId="50C47691" w:rsidR="002E30EF" w:rsidRDefault="002E30EF" w:rsidP="002E30EF">
            <w:r>
              <w:t>Use a purpose built uv light box for exposure and ensure that it is not possible to see the uv source.</w:t>
            </w:r>
          </w:p>
        </w:tc>
        <w:tc>
          <w:tcPr>
            <w:tcW w:w="1134" w:type="dxa"/>
          </w:tcPr>
          <w:p w14:paraId="14C86CCF" w14:textId="77777777" w:rsidR="002E30EF" w:rsidRDefault="002E30EF" w:rsidP="002E30EF"/>
        </w:tc>
        <w:tc>
          <w:tcPr>
            <w:tcW w:w="993" w:type="dxa"/>
          </w:tcPr>
          <w:p w14:paraId="6802EEFA" w14:textId="77777777" w:rsidR="002E30EF" w:rsidRDefault="002E30EF" w:rsidP="002E30EF"/>
        </w:tc>
        <w:tc>
          <w:tcPr>
            <w:tcW w:w="708" w:type="dxa"/>
          </w:tcPr>
          <w:p w14:paraId="5396EC59" w14:textId="77777777" w:rsidR="002E30EF" w:rsidRDefault="002E30EF" w:rsidP="002E30EF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38B6F791" w14:textId="5E7A4C49" w:rsidR="00AB67D1" w:rsidRDefault="00AB67D1" w:rsidP="00AB67D1">
            <w:pPr>
              <w:pStyle w:val="BodyText"/>
            </w:pPr>
            <w:r>
              <w:t>his is a simple photographic process that uses iron compounds rather than the much more expensive silver ones in normal film photography.</w:t>
            </w:r>
          </w:p>
          <w:p w14:paraId="5E444938" w14:textId="77777777" w:rsidR="00AB67D1" w:rsidRDefault="00AB67D1" w:rsidP="00AB67D1">
            <w:pPr>
              <w:pStyle w:val="BodyText"/>
            </w:pPr>
            <w:r>
              <w:t>A sensitiser solution is created (from one of three recipes) and used to coat paper.</w:t>
            </w:r>
          </w:p>
          <w:p w14:paraId="7CB9D77C" w14:textId="77777777" w:rsidR="00AB67D1" w:rsidRDefault="00AB67D1" w:rsidP="00AB67D1">
            <w:pPr>
              <w:pStyle w:val="BodyText"/>
            </w:pPr>
            <w:r>
              <w:t>Once dry, the paper is exposed to sunlight or uv light with a negative or mask on top to create an image.</w:t>
            </w:r>
          </w:p>
          <w:p w14:paraId="72C98B92" w14:textId="77777777" w:rsidR="00391B57" w:rsidRDefault="00AB67D1" w:rsidP="00AB67D1">
            <w:pPr>
              <w:ind w:firstLine="21"/>
            </w:pPr>
            <w:r>
              <w:t>The picture is ‘developed’ by running it under cold water.</w:t>
            </w:r>
          </w:p>
          <w:p w14:paraId="5EB5F045" w14:textId="3507F576" w:rsidR="00B1770E" w:rsidRPr="00433122" w:rsidRDefault="00B1770E" w:rsidP="00AB67D1">
            <w:pPr>
              <w:ind w:firstLine="21"/>
              <w:rPr>
                <w:sz w:val="22"/>
                <w:szCs w:val="22"/>
              </w:rPr>
            </w:pP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50B27CCE" w:rsidR="00CC27BB" w:rsidRDefault="00662428" w:rsidP="00AA4034">
            <w:r>
              <w:t xml:space="preserve">* </w:t>
            </w:r>
            <w:r w:rsidR="004735F9">
              <w:t xml:space="preserve">A full assessment of the Ferro prussiate reagent is difficult to </w:t>
            </w:r>
            <w:r w:rsidR="002A252C">
              <w:t xml:space="preserve">do without expert testing. The </w:t>
            </w:r>
            <w:r w:rsidR="00006788">
              <w:t xml:space="preserve">assumption of corrosive is based on the concentrations of the chemicals that are added. However, reactions in the mixture may well create a less hazardous </w:t>
            </w:r>
            <w:r w:rsidR="00BA6734">
              <w:t>solution. For instance the</w:t>
            </w:r>
            <w:r w:rsidR="00185D11">
              <w:t xml:space="preserve">re is probably </w:t>
            </w:r>
            <w:r w:rsidR="00B15ABC">
              <w:t>at least some production of Iron ammonium tartrate</w:t>
            </w:r>
            <w:r w:rsidR="00293F02">
              <w:t xml:space="preserve"> and it </w:t>
            </w:r>
            <w:r w:rsidR="00910910">
              <w:t>would be</w:t>
            </w:r>
            <w:bookmarkStart w:id="0" w:name="_GoBack"/>
            <w:bookmarkEnd w:id="0"/>
            <w:r w:rsidR="00293F02">
              <w:t xml:space="preserve"> reasonable to assume the properties of this are the same as the citrate – irritant only.</w:t>
            </w:r>
          </w:p>
        </w:tc>
      </w:tr>
    </w:tbl>
    <w:p w14:paraId="412B5F15" w14:textId="77777777" w:rsidR="00185440" w:rsidRDefault="00494A03"/>
    <w:sectPr w:rsidR="00185440" w:rsidSect="008178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086E7" w14:textId="77777777" w:rsidR="00494A03" w:rsidRDefault="00494A03">
      <w:r>
        <w:separator/>
      </w:r>
    </w:p>
  </w:endnote>
  <w:endnote w:type="continuationSeparator" w:id="0">
    <w:p w14:paraId="7A1B1B27" w14:textId="77777777" w:rsidR="00494A03" w:rsidRDefault="0049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494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494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EB62A" w14:textId="77777777" w:rsidR="00494A03" w:rsidRDefault="00494A03">
      <w:r>
        <w:separator/>
      </w:r>
    </w:p>
  </w:footnote>
  <w:footnote w:type="continuationSeparator" w:id="0">
    <w:p w14:paraId="61DE59BA" w14:textId="77777777" w:rsidR="00494A03" w:rsidRDefault="0049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494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494A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494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6788"/>
    <w:rsid w:val="000071DC"/>
    <w:rsid w:val="000147A5"/>
    <w:rsid w:val="00015C72"/>
    <w:rsid w:val="00023F5A"/>
    <w:rsid w:val="000411AA"/>
    <w:rsid w:val="00062360"/>
    <w:rsid w:val="00063E3E"/>
    <w:rsid w:val="00073352"/>
    <w:rsid w:val="00075F36"/>
    <w:rsid w:val="00077AC3"/>
    <w:rsid w:val="000A0CAD"/>
    <w:rsid w:val="000A1F0E"/>
    <w:rsid w:val="000C20CB"/>
    <w:rsid w:val="000E297A"/>
    <w:rsid w:val="000E7345"/>
    <w:rsid w:val="000F100E"/>
    <w:rsid w:val="00107A90"/>
    <w:rsid w:val="00112662"/>
    <w:rsid w:val="00125C63"/>
    <w:rsid w:val="00137C36"/>
    <w:rsid w:val="00156F80"/>
    <w:rsid w:val="00176B56"/>
    <w:rsid w:val="001800B9"/>
    <w:rsid w:val="00185D11"/>
    <w:rsid w:val="001A4C37"/>
    <w:rsid w:val="001D1C70"/>
    <w:rsid w:val="001D5AF0"/>
    <w:rsid w:val="001E2A1B"/>
    <w:rsid w:val="001F5077"/>
    <w:rsid w:val="00204988"/>
    <w:rsid w:val="00210072"/>
    <w:rsid w:val="00250762"/>
    <w:rsid w:val="00253512"/>
    <w:rsid w:val="00276A2D"/>
    <w:rsid w:val="00286852"/>
    <w:rsid w:val="00293F02"/>
    <w:rsid w:val="002A252C"/>
    <w:rsid w:val="002A3876"/>
    <w:rsid w:val="002B13CC"/>
    <w:rsid w:val="002B7A3D"/>
    <w:rsid w:val="002B7C9A"/>
    <w:rsid w:val="002C24AE"/>
    <w:rsid w:val="002D42E4"/>
    <w:rsid w:val="002E14C2"/>
    <w:rsid w:val="002E234A"/>
    <w:rsid w:val="002E30EF"/>
    <w:rsid w:val="00331814"/>
    <w:rsid w:val="00332A6A"/>
    <w:rsid w:val="00334C42"/>
    <w:rsid w:val="0033525B"/>
    <w:rsid w:val="003359C5"/>
    <w:rsid w:val="00336184"/>
    <w:rsid w:val="00350637"/>
    <w:rsid w:val="00353404"/>
    <w:rsid w:val="00353825"/>
    <w:rsid w:val="00371F31"/>
    <w:rsid w:val="003728E5"/>
    <w:rsid w:val="00384A41"/>
    <w:rsid w:val="00385C3E"/>
    <w:rsid w:val="00391B57"/>
    <w:rsid w:val="00393160"/>
    <w:rsid w:val="00393E7C"/>
    <w:rsid w:val="003A10ED"/>
    <w:rsid w:val="003A78B4"/>
    <w:rsid w:val="003B1A8E"/>
    <w:rsid w:val="003B63DF"/>
    <w:rsid w:val="003C2FB5"/>
    <w:rsid w:val="003C4206"/>
    <w:rsid w:val="003D2361"/>
    <w:rsid w:val="003D2DD0"/>
    <w:rsid w:val="003E431B"/>
    <w:rsid w:val="003F3EA1"/>
    <w:rsid w:val="004017D9"/>
    <w:rsid w:val="00407157"/>
    <w:rsid w:val="00407EDB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735F9"/>
    <w:rsid w:val="00491CAB"/>
    <w:rsid w:val="00494A03"/>
    <w:rsid w:val="004A2034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46B2"/>
    <w:rsid w:val="00635049"/>
    <w:rsid w:val="00635AF4"/>
    <w:rsid w:val="00652106"/>
    <w:rsid w:val="006529D9"/>
    <w:rsid w:val="0065328D"/>
    <w:rsid w:val="00662428"/>
    <w:rsid w:val="006864CD"/>
    <w:rsid w:val="006A21FC"/>
    <w:rsid w:val="006A3422"/>
    <w:rsid w:val="006B2286"/>
    <w:rsid w:val="006B4D50"/>
    <w:rsid w:val="006C17F9"/>
    <w:rsid w:val="006C370A"/>
    <w:rsid w:val="006D2E20"/>
    <w:rsid w:val="006D5D77"/>
    <w:rsid w:val="006E1CDF"/>
    <w:rsid w:val="006E27A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237B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78DA"/>
    <w:rsid w:val="008565CE"/>
    <w:rsid w:val="00860CBC"/>
    <w:rsid w:val="008621CB"/>
    <w:rsid w:val="00876F92"/>
    <w:rsid w:val="00877A0B"/>
    <w:rsid w:val="00891A92"/>
    <w:rsid w:val="0089423E"/>
    <w:rsid w:val="0089525B"/>
    <w:rsid w:val="00896FA3"/>
    <w:rsid w:val="008A0857"/>
    <w:rsid w:val="008A69B0"/>
    <w:rsid w:val="008B3D8B"/>
    <w:rsid w:val="008F0199"/>
    <w:rsid w:val="00903375"/>
    <w:rsid w:val="009071E0"/>
    <w:rsid w:val="00910910"/>
    <w:rsid w:val="00911379"/>
    <w:rsid w:val="009133F1"/>
    <w:rsid w:val="00930AE9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12B6A"/>
    <w:rsid w:val="00A30581"/>
    <w:rsid w:val="00A41976"/>
    <w:rsid w:val="00A467CE"/>
    <w:rsid w:val="00A516F4"/>
    <w:rsid w:val="00A73312"/>
    <w:rsid w:val="00A81B78"/>
    <w:rsid w:val="00AA4034"/>
    <w:rsid w:val="00AA532D"/>
    <w:rsid w:val="00AB67D1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03B04"/>
    <w:rsid w:val="00B128AD"/>
    <w:rsid w:val="00B15ABC"/>
    <w:rsid w:val="00B1770E"/>
    <w:rsid w:val="00B23DCA"/>
    <w:rsid w:val="00B24B10"/>
    <w:rsid w:val="00B302C5"/>
    <w:rsid w:val="00B611B3"/>
    <w:rsid w:val="00B61F5D"/>
    <w:rsid w:val="00B6438B"/>
    <w:rsid w:val="00B8315D"/>
    <w:rsid w:val="00B927C5"/>
    <w:rsid w:val="00BA3643"/>
    <w:rsid w:val="00BA6734"/>
    <w:rsid w:val="00BB13B1"/>
    <w:rsid w:val="00BD6F23"/>
    <w:rsid w:val="00BF13CF"/>
    <w:rsid w:val="00BF5B56"/>
    <w:rsid w:val="00C03C34"/>
    <w:rsid w:val="00C06F1C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D01A31"/>
    <w:rsid w:val="00D0477D"/>
    <w:rsid w:val="00D13C29"/>
    <w:rsid w:val="00D20938"/>
    <w:rsid w:val="00D24C31"/>
    <w:rsid w:val="00D34A49"/>
    <w:rsid w:val="00D5199B"/>
    <w:rsid w:val="00D542C5"/>
    <w:rsid w:val="00D6673B"/>
    <w:rsid w:val="00D8744A"/>
    <w:rsid w:val="00D97E73"/>
    <w:rsid w:val="00DB1928"/>
    <w:rsid w:val="00DB205F"/>
    <w:rsid w:val="00DB2243"/>
    <w:rsid w:val="00DB4B85"/>
    <w:rsid w:val="00DF19A1"/>
    <w:rsid w:val="00DF7BE9"/>
    <w:rsid w:val="00E16922"/>
    <w:rsid w:val="00E30437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2C50"/>
    <w:rsid w:val="00EB3274"/>
    <w:rsid w:val="00EB3A1F"/>
    <w:rsid w:val="00EB7C10"/>
    <w:rsid w:val="00EC550B"/>
    <w:rsid w:val="00ED1F6D"/>
    <w:rsid w:val="00ED3F4F"/>
    <w:rsid w:val="00EE129B"/>
    <w:rsid w:val="00EE25DC"/>
    <w:rsid w:val="00EE39DD"/>
    <w:rsid w:val="00EF2D12"/>
    <w:rsid w:val="00EF34FF"/>
    <w:rsid w:val="00EF7D57"/>
    <w:rsid w:val="00F0769C"/>
    <w:rsid w:val="00F2092D"/>
    <w:rsid w:val="00F22EA6"/>
    <w:rsid w:val="00F312BF"/>
    <w:rsid w:val="00F31A31"/>
    <w:rsid w:val="00F35525"/>
    <w:rsid w:val="00F35942"/>
    <w:rsid w:val="00F3791C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2123"/>
    <w:rsid w:val="00FF370B"/>
    <w:rsid w:val="00FF4892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semiHidden/>
    <w:rsid w:val="00AB67D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B67D1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294</cp:revision>
  <dcterms:created xsi:type="dcterms:W3CDTF">2019-11-27T13:54:00Z</dcterms:created>
  <dcterms:modified xsi:type="dcterms:W3CDTF">2019-12-05T12:13:00Z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