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E47F7" w14:paraId="0ABED3D4" w14:textId="77777777" w:rsidTr="002800A0">
        <w:tc>
          <w:tcPr>
            <w:tcW w:w="3085" w:type="dxa"/>
          </w:tcPr>
          <w:p w14:paraId="415F7095" w14:textId="77777777" w:rsidR="001E47F7" w:rsidRDefault="001E47F7" w:rsidP="001E47F7">
            <w:pPr>
              <w:pStyle w:val="Heading6"/>
            </w:pPr>
            <w:bookmarkStart w:id="0" w:name="_GoBack" w:colFirst="1" w:colLast="1"/>
            <w:r>
              <w:t>Activity assessed</w:t>
            </w:r>
          </w:p>
        </w:tc>
        <w:tc>
          <w:tcPr>
            <w:tcW w:w="5843" w:type="dxa"/>
          </w:tcPr>
          <w:p w14:paraId="056EE7CA" w14:textId="73211B34" w:rsidR="001E47F7" w:rsidRDefault="001E47F7" w:rsidP="001E47F7">
            <w:r>
              <w:t>Comparing strong and weak acids</w:t>
            </w:r>
          </w:p>
        </w:tc>
      </w:tr>
      <w:tr w:rsidR="001E47F7" w14:paraId="0A748382" w14:textId="77777777" w:rsidTr="002800A0">
        <w:tc>
          <w:tcPr>
            <w:tcW w:w="3085" w:type="dxa"/>
          </w:tcPr>
          <w:p w14:paraId="55D11C45" w14:textId="77777777" w:rsidR="001E47F7" w:rsidRDefault="001E47F7" w:rsidP="001E47F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7FE75C55" w:rsidR="001E47F7" w:rsidRDefault="001E47F7" w:rsidP="001E47F7">
            <w:r>
              <w:t>07/07/2015</w:t>
            </w:r>
          </w:p>
        </w:tc>
      </w:tr>
      <w:bookmarkEnd w:id="0"/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F3491" w14:paraId="6B628DC7" w14:textId="77777777" w:rsidTr="00BB13B1">
        <w:trPr>
          <w:trHeight w:val="709"/>
        </w:trPr>
        <w:tc>
          <w:tcPr>
            <w:tcW w:w="3256" w:type="dxa"/>
          </w:tcPr>
          <w:p w14:paraId="1B6DE719" w14:textId="7E4A17BE" w:rsidR="007F3491" w:rsidRPr="005E10D3" w:rsidRDefault="007F3491" w:rsidP="007F3491">
            <w:r>
              <w:t>Hydrochloric acid is corrosive and produces corrosive vapour</w:t>
            </w:r>
          </w:p>
        </w:tc>
        <w:tc>
          <w:tcPr>
            <w:tcW w:w="2409" w:type="dxa"/>
          </w:tcPr>
          <w:p w14:paraId="685597AD" w14:textId="26DE9466" w:rsidR="007F3491" w:rsidRPr="00EC550B" w:rsidRDefault="007F3491" w:rsidP="007F3491">
            <w:r>
              <w:t>Technician preparing 1M solution by splashes and/or inhalation.</w:t>
            </w:r>
          </w:p>
        </w:tc>
        <w:tc>
          <w:tcPr>
            <w:tcW w:w="5783" w:type="dxa"/>
          </w:tcPr>
          <w:p w14:paraId="34A8D323" w14:textId="656E3161" w:rsidR="007F3491" w:rsidRPr="00334C42" w:rsidRDefault="007F3491" w:rsidP="007F3491">
            <w:r>
              <w:t>Wear goggles (EN 166 3) or a face shield and work in a fume cupboard or a well-ventilated lab.</w:t>
            </w:r>
          </w:p>
        </w:tc>
        <w:tc>
          <w:tcPr>
            <w:tcW w:w="1134" w:type="dxa"/>
          </w:tcPr>
          <w:p w14:paraId="4BB8AF72" w14:textId="77777777" w:rsidR="007F3491" w:rsidRDefault="007F3491" w:rsidP="007F3491"/>
        </w:tc>
        <w:tc>
          <w:tcPr>
            <w:tcW w:w="993" w:type="dxa"/>
          </w:tcPr>
          <w:p w14:paraId="072F7811" w14:textId="77777777" w:rsidR="007F3491" w:rsidRDefault="007F3491" w:rsidP="007F3491"/>
        </w:tc>
        <w:tc>
          <w:tcPr>
            <w:tcW w:w="708" w:type="dxa"/>
          </w:tcPr>
          <w:p w14:paraId="431DDAE0" w14:textId="77777777" w:rsidR="007F3491" w:rsidRDefault="007F3491" w:rsidP="007F3491"/>
        </w:tc>
      </w:tr>
      <w:tr w:rsidR="007F3491" w14:paraId="180549F0" w14:textId="77777777" w:rsidTr="00BB13B1">
        <w:trPr>
          <w:trHeight w:val="709"/>
        </w:trPr>
        <w:tc>
          <w:tcPr>
            <w:tcW w:w="3256" w:type="dxa"/>
          </w:tcPr>
          <w:p w14:paraId="5C4A1AD6" w14:textId="13CD6544" w:rsidR="007F3491" w:rsidRPr="005E10D3" w:rsidRDefault="007F3491" w:rsidP="007F3491">
            <w:r>
              <w:t>1M Hydrochloric acid is of no significant hazard</w:t>
            </w:r>
          </w:p>
        </w:tc>
        <w:tc>
          <w:tcPr>
            <w:tcW w:w="2409" w:type="dxa"/>
          </w:tcPr>
          <w:p w14:paraId="21F458CA" w14:textId="49B2952E" w:rsidR="007F3491" w:rsidRPr="00EC550B" w:rsidRDefault="007F3491" w:rsidP="007F3491"/>
        </w:tc>
        <w:tc>
          <w:tcPr>
            <w:tcW w:w="5783" w:type="dxa"/>
          </w:tcPr>
          <w:p w14:paraId="35FEF714" w14:textId="6311D762" w:rsidR="007F3491" w:rsidRPr="00334C42" w:rsidRDefault="007F3491" w:rsidP="007F3491"/>
        </w:tc>
        <w:tc>
          <w:tcPr>
            <w:tcW w:w="1134" w:type="dxa"/>
          </w:tcPr>
          <w:p w14:paraId="11598EDD" w14:textId="77777777" w:rsidR="007F3491" w:rsidRDefault="007F3491" w:rsidP="007F3491"/>
        </w:tc>
        <w:tc>
          <w:tcPr>
            <w:tcW w:w="993" w:type="dxa"/>
          </w:tcPr>
          <w:p w14:paraId="33CA6A89" w14:textId="77777777" w:rsidR="007F3491" w:rsidRDefault="007F3491" w:rsidP="007F3491"/>
        </w:tc>
        <w:tc>
          <w:tcPr>
            <w:tcW w:w="708" w:type="dxa"/>
          </w:tcPr>
          <w:p w14:paraId="7765D0B9" w14:textId="77777777" w:rsidR="007F3491" w:rsidRDefault="007F3491" w:rsidP="007F3491"/>
        </w:tc>
      </w:tr>
      <w:tr w:rsidR="007F3491" w14:paraId="4B4D4ABC" w14:textId="77777777" w:rsidTr="00BB13B1">
        <w:trPr>
          <w:trHeight w:val="709"/>
        </w:trPr>
        <w:tc>
          <w:tcPr>
            <w:tcW w:w="3256" w:type="dxa"/>
          </w:tcPr>
          <w:p w14:paraId="53F48756" w14:textId="6820157F" w:rsidR="007F3491" w:rsidRPr="005E10D3" w:rsidRDefault="007F3491" w:rsidP="007F3491">
            <w:r>
              <w:t>Ethanoic acid is corrosive and produces corrosive vapour</w:t>
            </w:r>
          </w:p>
        </w:tc>
        <w:tc>
          <w:tcPr>
            <w:tcW w:w="2409" w:type="dxa"/>
          </w:tcPr>
          <w:p w14:paraId="66F8BEDD" w14:textId="5081D897" w:rsidR="007F3491" w:rsidRPr="00EC550B" w:rsidRDefault="007F3491" w:rsidP="007F3491">
            <w:r>
              <w:t>Technician preparing 1M solution by splashes and/or inhalation.</w:t>
            </w:r>
          </w:p>
        </w:tc>
        <w:tc>
          <w:tcPr>
            <w:tcW w:w="5783" w:type="dxa"/>
          </w:tcPr>
          <w:p w14:paraId="6FBF0F35" w14:textId="769F9C2D" w:rsidR="007F3491" w:rsidRPr="00334C42" w:rsidRDefault="007F3491" w:rsidP="007F3491">
            <w:r>
              <w:t>Wear goggles (EN 166 3) or a face shield and work in a fume cupboard or a well-ventilated lab.</w:t>
            </w:r>
          </w:p>
        </w:tc>
        <w:tc>
          <w:tcPr>
            <w:tcW w:w="1134" w:type="dxa"/>
          </w:tcPr>
          <w:p w14:paraId="0FB745D0" w14:textId="77777777" w:rsidR="007F3491" w:rsidRDefault="007F3491" w:rsidP="007F3491"/>
        </w:tc>
        <w:tc>
          <w:tcPr>
            <w:tcW w:w="993" w:type="dxa"/>
          </w:tcPr>
          <w:p w14:paraId="04FE0339" w14:textId="77777777" w:rsidR="007F3491" w:rsidRDefault="007F3491" w:rsidP="007F3491"/>
        </w:tc>
        <w:tc>
          <w:tcPr>
            <w:tcW w:w="708" w:type="dxa"/>
          </w:tcPr>
          <w:p w14:paraId="1FCE6033" w14:textId="77777777" w:rsidR="007F3491" w:rsidRDefault="007F3491" w:rsidP="007F3491"/>
        </w:tc>
      </w:tr>
      <w:tr w:rsidR="007F3491" w14:paraId="0153FE5D" w14:textId="77777777" w:rsidTr="00BB13B1">
        <w:trPr>
          <w:trHeight w:val="709"/>
        </w:trPr>
        <w:tc>
          <w:tcPr>
            <w:tcW w:w="3256" w:type="dxa"/>
          </w:tcPr>
          <w:p w14:paraId="46866EA6" w14:textId="6437665A" w:rsidR="007F3491" w:rsidRDefault="007F3491" w:rsidP="007F3491">
            <w:r>
              <w:t>1M Ethanoic acid is of no significant hazard</w:t>
            </w:r>
          </w:p>
        </w:tc>
        <w:tc>
          <w:tcPr>
            <w:tcW w:w="2409" w:type="dxa"/>
          </w:tcPr>
          <w:p w14:paraId="2E4FBF48" w14:textId="77777777" w:rsidR="007F3491" w:rsidRDefault="007F3491" w:rsidP="007F3491"/>
        </w:tc>
        <w:tc>
          <w:tcPr>
            <w:tcW w:w="5783" w:type="dxa"/>
          </w:tcPr>
          <w:p w14:paraId="4469F2FD" w14:textId="77777777" w:rsidR="007F3491" w:rsidRDefault="007F3491" w:rsidP="007F3491"/>
        </w:tc>
        <w:tc>
          <w:tcPr>
            <w:tcW w:w="1134" w:type="dxa"/>
          </w:tcPr>
          <w:p w14:paraId="2F9BB8D7" w14:textId="77777777" w:rsidR="007F3491" w:rsidRDefault="007F3491" w:rsidP="007F3491"/>
        </w:tc>
        <w:tc>
          <w:tcPr>
            <w:tcW w:w="993" w:type="dxa"/>
          </w:tcPr>
          <w:p w14:paraId="040EDD49" w14:textId="77777777" w:rsidR="007F3491" w:rsidRDefault="007F3491" w:rsidP="007F3491"/>
        </w:tc>
        <w:tc>
          <w:tcPr>
            <w:tcW w:w="708" w:type="dxa"/>
          </w:tcPr>
          <w:p w14:paraId="494BF071" w14:textId="77777777" w:rsidR="007F3491" w:rsidRDefault="007F3491" w:rsidP="007F3491"/>
        </w:tc>
      </w:tr>
      <w:tr w:rsidR="007F3491" w14:paraId="4A26A8E2" w14:textId="77777777" w:rsidTr="00BB13B1">
        <w:trPr>
          <w:trHeight w:val="709"/>
        </w:trPr>
        <w:tc>
          <w:tcPr>
            <w:tcW w:w="3256" w:type="dxa"/>
          </w:tcPr>
          <w:p w14:paraId="08BEA4E4" w14:textId="0FD00494" w:rsidR="007F3491" w:rsidRPr="005E10D3" w:rsidRDefault="007F3491" w:rsidP="007F3491">
            <w:r>
              <w:t>Marble chips are of no significant hazard Magnesium ribbon can release flammable hydrogen gas in contact with acid but at this scale the hazard is of no significance</w:t>
            </w:r>
          </w:p>
        </w:tc>
        <w:tc>
          <w:tcPr>
            <w:tcW w:w="2409" w:type="dxa"/>
          </w:tcPr>
          <w:p w14:paraId="14C8851D" w14:textId="3A4C56E4" w:rsidR="007F3491" w:rsidRPr="00EC550B" w:rsidRDefault="007F3491" w:rsidP="007F3491"/>
        </w:tc>
        <w:tc>
          <w:tcPr>
            <w:tcW w:w="5783" w:type="dxa"/>
          </w:tcPr>
          <w:p w14:paraId="6BA76B8B" w14:textId="1DAE3A5A" w:rsidR="007F3491" w:rsidRPr="00334C42" w:rsidRDefault="007F3491" w:rsidP="007F3491"/>
        </w:tc>
        <w:tc>
          <w:tcPr>
            <w:tcW w:w="1134" w:type="dxa"/>
          </w:tcPr>
          <w:p w14:paraId="10D5B4AD" w14:textId="77777777" w:rsidR="007F3491" w:rsidRDefault="007F3491" w:rsidP="007F3491"/>
        </w:tc>
        <w:tc>
          <w:tcPr>
            <w:tcW w:w="993" w:type="dxa"/>
          </w:tcPr>
          <w:p w14:paraId="71810A04" w14:textId="77777777" w:rsidR="007F3491" w:rsidRDefault="007F3491" w:rsidP="007F3491"/>
        </w:tc>
        <w:tc>
          <w:tcPr>
            <w:tcW w:w="708" w:type="dxa"/>
          </w:tcPr>
          <w:p w14:paraId="7E6A2BFE" w14:textId="77777777" w:rsidR="007F3491" w:rsidRDefault="007F3491" w:rsidP="007F3491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5EB5F045" w14:textId="0F69F3B5" w:rsidR="00391B57" w:rsidRPr="00433122" w:rsidRDefault="00E77770" w:rsidP="00B61F5D">
            <w:pPr>
              <w:ind w:firstLine="21"/>
              <w:rPr>
                <w:sz w:val="22"/>
                <w:szCs w:val="22"/>
              </w:rPr>
            </w:pPr>
            <w:r>
              <w:t xml:space="preserve">The pH and conductivity of 1M hydrochloric and ethanoic acids are measured then pieces of marble ch9ip and </w:t>
            </w:r>
            <w:proofErr w:type="spellStart"/>
            <w:r>
              <w:t>magnesioum</w:t>
            </w:r>
            <w:proofErr w:type="spellEnd"/>
            <w:r>
              <w:t xml:space="preserve"> ribbon are dropped into (separate) test tubes of both and the reactions observed.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5733E5E1" w:rsidR="00CC27BB" w:rsidRDefault="00C55A25" w:rsidP="00AA4034">
            <w:r>
              <w:t>The resultant solutions will be of no significant hazard and can be safely washed to waste.</w:t>
            </w:r>
          </w:p>
        </w:tc>
      </w:tr>
    </w:tbl>
    <w:p w14:paraId="412B5F15" w14:textId="77777777" w:rsidR="00185440" w:rsidRDefault="003B07D6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779E" w14:textId="77777777" w:rsidR="003B07D6" w:rsidRDefault="003B07D6">
      <w:r>
        <w:separator/>
      </w:r>
    </w:p>
  </w:endnote>
  <w:endnote w:type="continuationSeparator" w:id="0">
    <w:p w14:paraId="11C354EF" w14:textId="77777777" w:rsidR="003B07D6" w:rsidRDefault="003B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3B0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3B0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BA24" w14:textId="77777777" w:rsidR="003B07D6" w:rsidRDefault="003B07D6">
      <w:r>
        <w:separator/>
      </w:r>
    </w:p>
  </w:footnote>
  <w:footnote w:type="continuationSeparator" w:id="0">
    <w:p w14:paraId="530B24FF" w14:textId="77777777" w:rsidR="003B07D6" w:rsidRDefault="003B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3B0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3B0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3B0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E47F7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04C8F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07D6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4F536B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E7665"/>
    <w:rsid w:val="007F3491"/>
    <w:rsid w:val="007F3A43"/>
    <w:rsid w:val="007F5E3B"/>
    <w:rsid w:val="00804809"/>
    <w:rsid w:val="0081148D"/>
    <w:rsid w:val="00815B75"/>
    <w:rsid w:val="008211D8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73312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11B3"/>
    <w:rsid w:val="00B61F5D"/>
    <w:rsid w:val="00B6438B"/>
    <w:rsid w:val="00B8315D"/>
    <w:rsid w:val="00B927C5"/>
    <w:rsid w:val="00BA3643"/>
    <w:rsid w:val="00BB13B1"/>
    <w:rsid w:val="00BD6F23"/>
    <w:rsid w:val="00C03C34"/>
    <w:rsid w:val="00C06F1C"/>
    <w:rsid w:val="00C17AEF"/>
    <w:rsid w:val="00C24BA4"/>
    <w:rsid w:val="00C40B30"/>
    <w:rsid w:val="00C55A25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F19A1"/>
    <w:rsid w:val="00DF7BE9"/>
    <w:rsid w:val="00E05110"/>
    <w:rsid w:val="00E16922"/>
    <w:rsid w:val="00E33875"/>
    <w:rsid w:val="00E42D4C"/>
    <w:rsid w:val="00E47935"/>
    <w:rsid w:val="00E52BC5"/>
    <w:rsid w:val="00E63069"/>
    <w:rsid w:val="00E77770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257</cp:revision>
  <dcterms:created xsi:type="dcterms:W3CDTF">2019-11-27T13:54:00Z</dcterms:created>
  <dcterms:modified xsi:type="dcterms:W3CDTF">2019-12-03T14:05:00Z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