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E47F7" w14:paraId="0ABED3D4" w14:textId="77777777" w:rsidTr="00805DD8">
        <w:trPr>
          <w:trHeight w:val="256"/>
        </w:trPr>
        <w:tc>
          <w:tcPr>
            <w:tcW w:w="3085" w:type="dxa"/>
          </w:tcPr>
          <w:p w14:paraId="415F7095" w14:textId="77777777" w:rsidR="001E47F7" w:rsidRDefault="001E47F7" w:rsidP="001E47F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0DE21399" w:rsidR="001E47F7" w:rsidRDefault="001D090C" w:rsidP="001E47F7">
            <w:r>
              <w:t>Cobalt</w:t>
            </w:r>
            <w:r w:rsidR="00805DD8">
              <w:t xml:space="preserve"> </w:t>
            </w:r>
            <w:r w:rsidR="00EB22E1">
              <w:t>complexes</w:t>
            </w:r>
          </w:p>
        </w:tc>
      </w:tr>
      <w:tr w:rsidR="001E47F7" w14:paraId="0A748382" w14:textId="77777777" w:rsidTr="002800A0">
        <w:tc>
          <w:tcPr>
            <w:tcW w:w="3085" w:type="dxa"/>
          </w:tcPr>
          <w:p w14:paraId="55D11C45" w14:textId="77777777" w:rsidR="001E47F7" w:rsidRDefault="001E47F7" w:rsidP="001E47F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5E0B030" w:rsidR="001E47F7" w:rsidRDefault="00805DD8" w:rsidP="001E47F7">
            <w:r>
              <w:t>03/12/2019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5783"/>
        <w:gridCol w:w="1134"/>
        <w:gridCol w:w="993"/>
        <w:gridCol w:w="708"/>
      </w:tblGrid>
      <w:tr w:rsidR="00CC27BB" w14:paraId="21A9275B" w14:textId="77777777" w:rsidTr="008B5D43">
        <w:trPr>
          <w:tblHeader/>
        </w:trPr>
        <w:tc>
          <w:tcPr>
            <w:tcW w:w="3261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8B5D43">
        <w:trPr>
          <w:tblHeader/>
        </w:trPr>
        <w:tc>
          <w:tcPr>
            <w:tcW w:w="3261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8B5D43">
        <w:trPr>
          <w:trHeight w:val="344"/>
        </w:trPr>
        <w:tc>
          <w:tcPr>
            <w:tcW w:w="3261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8D5D8C" w:rsidRPr="009B7A10" w14:paraId="677EB36E" w14:textId="77777777" w:rsidTr="009B7A10">
        <w:trPr>
          <w:trHeight w:val="334"/>
        </w:trPr>
        <w:tc>
          <w:tcPr>
            <w:tcW w:w="14288" w:type="dxa"/>
            <w:gridSpan w:val="6"/>
            <w:shd w:val="clear" w:color="auto" w:fill="B6DDE8" w:themeFill="accent5" w:themeFillTint="66"/>
          </w:tcPr>
          <w:p w14:paraId="526E2B44" w14:textId="313AFEA9" w:rsidR="008D5D8C" w:rsidRPr="009B7A10" w:rsidRDefault="008D5D8C" w:rsidP="00EE33E5">
            <w:pPr>
              <w:rPr>
                <w:b/>
                <w:bCs/>
              </w:rPr>
            </w:pPr>
            <w:r w:rsidRPr="009B7A10">
              <w:rPr>
                <w:b/>
                <w:bCs/>
              </w:rPr>
              <w:t xml:space="preserve">Synthesis of </w:t>
            </w:r>
            <w:proofErr w:type="spellStart"/>
            <w:r w:rsidRPr="009B7A10">
              <w:rPr>
                <w:b/>
                <w:bCs/>
              </w:rPr>
              <w:t>hexaammino</w:t>
            </w:r>
            <w:proofErr w:type="spellEnd"/>
            <w:r w:rsidRPr="009B7A10">
              <w:rPr>
                <w:b/>
                <w:bCs/>
              </w:rPr>
              <w:t xml:space="preserve"> cobalt III complex</w:t>
            </w:r>
          </w:p>
        </w:tc>
      </w:tr>
      <w:tr w:rsidR="007B334A" w14:paraId="4A23D25D" w14:textId="77777777" w:rsidTr="00EE33E5">
        <w:trPr>
          <w:trHeight w:val="1282"/>
        </w:trPr>
        <w:tc>
          <w:tcPr>
            <w:tcW w:w="3261" w:type="dxa"/>
          </w:tcPr>
          <w:p w14:paraId="09269E36" w14:textId="77777777" w:rsidR="007B334A" w:rsidRDefault="007B334A" w:rsidP="00EE33E5">
            <w:r>
              <w:t>Ammonia is corrosive and toxic by inhalation</w:t>
            </w:r>
          </w:p>
          <w:p w14:paraId="299038D0" w14:textId="77777777" w:rsidR="007B334A" w:rsidRDefault="007B334A" w:rsidP="00EE33E5"/>
        </w:tc>
        <w:tc>
          <w:tcPr>
            <w:tcW w:w="2409" w:type="dxa"/>
          </w:tcPr>
          <w:p w14:paraId="1CE04A13" w14:textId="77777777" w:rsidR="007B334A" w:rsidRDefault="007B334A" w:rsidP="00EE33E5">
            <w:r>
              <w:t>Technician (or teacher) decanting solution.</w:t>
            </w:r>
          </w:p>
          <w:p w14:paraId="63866B74" w14:textId="7E09B9D4" w:rsidR="007B334A" w:rsidRDefault="007B334A" w:rsidP="00EE33E5">
            <w:r>
              <w:t>Demonstrator by splashing</w:t>
            </w:r>
            <w:r w:rsidR="00BA7FB0">
              <w:t>. Both by inhalation.</w:t>
            </w:r>
          </w:p>
        </w:tc>
        <w:tc>
          <w:tcPr>
            <w:tcW w:w="5783" w:type="dxa"/>
          </w:tcPr>
          <w:p w14:paraId="36D535F4" w14:textId="77777777" w:rsidR="007B334A" w:rsidRDefault="007B334A" w:rsidP="00EE33E5">
            <w:r w:rsidRPr="00923AC6">
              <w:t xml:space="preserve">Wear </w:t>
            </w:r>
            <w:r>
              <w:t>goggles (BS EN 1663 (</w:t>
            </w:r>
            <w:r w:rsidRPr="00923AC6">
              <w:t xml:space="preserve">and </w:t>
            </w:r>
            <w:r>
              <w:t>gloves). Work in a fume cupboard</w:t>
            </w:r>
          </w:p>
          <w:p w14:paraId="2C83B24D" w14:textId="77777777" w:rsidR="007B334A" w:rsidRDefault="007B334A" w:rsidP="00EE33E5"/>
          <w:p w14:paraId="535BF396" w14:textId="77777777" w:rsidR="007B334A" w:rsidRDefault="007B334A" w:rsidP="00EE33E5"/>
        </w:tc>
        <w:tc>
          <w:tcPr>
            <w:tcW w:w="1134" w:type="dxa"/>
          </w:tcPr>
          <w:p w14:paraId="099CA381" w14:textId="77777777" w:rsidR="007B334A" w:rsidRDefault="007B334A" w:rsidP="00EE33E5"/>
        </w:tc>
        <w:tc>
          <w:tcPr>
            <w:tcW w:w="993" w:type="dxa"/>
          </w:tcPr>
          <w:p w14:paraId="59392F74" w14:textId="77777777" w:rsidR="007B334A" w:rsidRDefault="007B334A" w:rsidP="00EE33E5"/>
        </w:tc>
        <w:tc>
          <w:tcPr>
            <w:tcW w:w="708" w:type="dxa"/>
          </w:tcPr>
          <w:p w14:paraId="01DE59B3" w14:textId="77777777" w:rsidR="007B334A" w:rsidRDefault="007B334A" w:rsidP="00EE33E5"/>
        </w:tc>
      </w:tr>
      <w:tr w:rsidR="00AB36B7" w14:paraId="6B628DC7" w14:textId="77777777" w:rsidTr="00AB36B7">
        <w:trPr>
          <w:trHeight w:val="604"/>
        </w:trPr>
        <w:tc>
          <w:tcPr>
            <w:tcW w:w="3261" w:type="dxa"/>
          </w:tcPr>
          <w:p w14:paraId="1B6DE719" w14:textId="6A3FC56D" w:rsidR="00AB36B7" w:rsidRPr="00056905" w:rsidRDefault="00667AF9" w:rsidP="00754F1E">
            <w:pPr>
              <w:rPr>
                <w:b/>
                <w:bCs/>
              </w:rPr>
            </w:pPr>
            <w:r>
              <w:t>Cobalt chloride</w:t>
            </w:r>
            <w:r w:rsidR="00AB36B7">
              <w:t xml:space="preserve"> is harmful</w:t>
            </w:r>
            <w:r w:rsidR="00B50C2C">
              <w:t xml:space="preserve"> </w:t>
            </w:r>
            <w:r w:rsidR="00A55AFC">
              <w:t xml:space="preserve">is swallowed, a skin/respiratory sensitiser, a mutagen, </w:t>
            </w:r>
            <w:proofErr w:type="gramStart"/>
            <w:r w:rsidR="00A55AFC">
              <w:t>carcinogen</w:t>
            </w:r>
            <w:proofErr w:type="gramEnd"/>
            <w:r w:rsidR="00A55AFC">
              <w:t xml:space="preserve"> and reproductive toxin</w:t>
            </w:r>
            <w:r w:rsidR="00754F1E">
              <w:t>.</w:t>
            </w:r>
          </w:p>
        </w:tc>
        <w:tc>
          <w:tcPr>
            <w:tcW w:w="2409" w:type="dxa"/>
          </w:tcPr>
          <w:p w14:paraId="685597AD" w14:textId="1FA0A8AD" w:rsidR="00AB36B7" w:rsidRPr="00EC550B" w:rsidRDefault="00AB36B7" w:rsidP="00AB36B7">
            <w:r>
              <w:t>Technician (or teacher) preparing solution</w:t>
            </w:r>
            <w:r w:rsidR="00BD2F35">
              <w:t xml:space="preserve"> and student carryin</w:t>
            </w:r>
            <w:r w:rsidR="00931DB7">
              <w:t>g</w:t>
            </w:r>
            <w:r w:rsidR="00BD2F35">
              <w:t xml:space="preserve"> it out</w:t>
            </w:r>
            <w:r w:rsidR="00931DB7">
              <w:t xml:space="preserve"> – by inhalation</w:t>
            </w:r>
          </w:p>
        </w:tc>
        <w:tc>
          <w:tcPr>
            <w:tcW w:w="5783" w:type="dxa"/>
          </w:tcPr>
          <w:p w14:paraId="34A8D323" w14:textId="5C697FC8" w:rsidR="00AB36B7" w:rsidRPr="00334C42" w:rsidRDefault="00931DB7" w:rsidP="00AB36B7">
            <w:r>
              <w:t xml:space="preserve">Most of the hazards are only significant if the cobalt chloride is inhaled. </w:t>
            </w:r>
            <w:r w:rsidR="001E07E3">
              <w:t>Work in a well-ventilated room and keep boiling to a minimum to reduce aerosol formation.</w:t>
            </w:r>
            <w:r w:rsidR="00EF26AE">
              <w:t xml:space="preserve"> Wear eye protection and consider wearing gloves.</w:t>
            </w:r>
          </w:p>
        </w:tc>
        <w:tc>
          <w:tcPr>
            <w:tcW w:w="1134" w:type="dxa"/>
          </w:tcPr>
          <w:p w14:paraId="4BB8AF72" w14:textId="77777777" w:rsidR="00AB36B7" w:rsidRDefault="00AB36B7" w:rsidP="00AB36B7"/>
        </w:tc>
        <w:tc>
          <w:tcPr>
            <w:tcW w:w="993" w:type="dxa"/>
          </w:tcPr>
          <w:p w14:paraId="072F7811" w14:textId="77777777" w:rsidR="00AB36B7" w:rsidRDefault="00AB36B7" w:rsidP="00AB36B7"/>
        </w:tc>
        <w:tc>
          <w:tcPr>
            <w:tcW w:w="708" w:type="dxa"/>
          </w:tcPr>
          <w:p w14:paraId="431DDAE0" w14:textId="77777777" w:rsidR="00AB36B7" w:rsidRDefault="00AB36B7" w:rsidP="00AB36B7"/>
        </w:tc>
      </w:tr>
      <w:tr w:rsidR="00AB36B7" w14:paraId="180549F0" w14:textId="77777777" w:rsidTr="008B5D43">
        <w:trPr>
          <w:trHeight w:val="709"/>
        </w:trPr>
        <w:tc>
          <w:tcPr>
            <w:tcW w:w="3261" w:type="dxa"/>
          </w:tcPr>
          <w:p w14:paraId="50BA9A3C" w14:textId="77777777" w:rsidR="00A72350" w:rsidRDefault="000D0E3F" w:rsidP="00AB36B7">
            <w:r>
              <w:t xml:space="preserve">Concentrated hydrochloric acid is </w:t>
            </w:r>
            <w:r w:rsidR="00301D40">
              <w:t>corrosive and produces corrosive fumes</w:t>
            </w:r>
            <w:r w:rsidR="003F459F">
              <w:t>.</w:t>
            </w:r>
          </w:p>
          <w:p w14:paraId="5C4A1AD6" w14:textId="24AC7760" w:rsidR="003F459F" w:rsidRPr="005E10D3" w:rsidRDefault="003F459F" w:rsidP="00AB36B7">
            <w:r>
              <w:t>The solution is a skin/eye irritant.</w:t>
            </w:r>
          </w:p>
        </w:tc>
        <w:tc>
          <w:tcPr>
            <w:tcW w:w="2409" w:type="dxa"/>
          </w:tcPr>
          <w:p w14:paraId="21F458CA" w14:textId="241F9395" w:rsidR="00AB36B7" w:rsidRPr="00EC550B" w:rsidRDefault="00AB36B7" w:rsidP="00AB36B7">
            <w:r>
              <w:t>Technician (or teacher) preparing solution</w:t>
            </w:r>
          </w:p>
        </w:tc>
        <w:tc>
          <w:tcPr>
            <w:tcW w:w="5783" w:type="dxa"/>
          </w:tcPr>
          <w:p w14:paraId="29E6888F" w14:textId="63394D8F" w:rsidR="00AB36B7" w:rsidRDefault="00304BC5" w:rsidP="00AB36B7">
            <w:r w:rsidRPr="00923AC6">
              <w:t xml:space="preserve">Wear </w:t>
            </w:r>
            <w:r w:rsidR="00772A79">
              <w:t xml:space="preserve">goggles (BS EN 166 3) </w:t>
            </w:r>
            <w:r w:rsidRPr="00923AC6">
              <w:t xml:space="preserve">and </w:t>
            </w:r>
            <w:r>
              <w:t>gloves. Work in a well-ventilated room or, if the quantity is more th</w:t>
            </w:r>
            <w:r w:rsidR="00EA4631">
              <w:t>a</w:t>
            </w:r>
            <w:r>
              <w:t>n a few cm3, use a fume cupboard.</w:t>
            </w:r>
          </w:p>
          <w:p w14:paraId="35FEF714" w14:textId="62C4895F" w:rsidR="003F459F" w:rsidRPr="00334C42" w:rsidRDefault="003F459F" w:rsidP="00AB36B7">
            <w:r>
              <w:t>Wear eye protection when handling the solution.</w:t>
            </w:r>
          </w:p>
        </w:tc>
        <w:tc>
          <w:tcPr>
            <w:tcW w:w="1134" w:type="dxa"/>
          </w:tcPr>
          <w:p w14:paraId="11598EDD" w14:textId="77777777" w:rsidR="00AB36B7" w:rsidRDefault="00AB36B7" w:rsidP="00AB36B7"/>
        </w:tc>
        <w:tc>
          <w:tcPr>
            <w:tcW w:w="993" w:type="dxa"/>
          </w:tcPr>
          <w:p w14:paraId="33CA6A89" w14:textId="77777777" w:rsidR="00AB36B7" w:rsidRDefault="00AB36B7" w:rsidP="00AB36B7"/>
        </w:tc>
        <w:tc>
          <w:tcPr>
            <w:tcW w:w="708" w:type="dxa"/>
          </w:tcPr>
          <w:p w14:paraId="7765D0B9" w14:textId="77777777" w:rsidR="00AB36B7" w:rsidRDefault="00AB36B7" w:rsidP="00AB36B7"/>
        </w:tc>
      </w:tr>
      <w:tr w:rsidR="009B7A10" w:rsidRPr="009B7A10" w14:paraId="7E73EE8F" w14:textId="77777777" w:rsidTr="00CB1B19">
        <w:trPr>
          <w:trHeight w:val="334"/>
        </w:trPr>
        <w:tc>
          <w:tcPr>
            <w:tcW w:w="14288" w:type="dxa"/>
            <w:gridSpan w:val="6"/>
            <w:shd w:val="clear" w:color="auto" w:fill="B6DDE8" w:themeFill="accent5" w:themeFillTint="66"/>
          </w:tcPr>
          <w:p w14:paraId="543488E0" w14:textId="22EFF300" w:rsidR="009B7A10" w:rsidRPr="009B7A10" w:rsidRDefault="003C1700" w:rsidP="00CB1B19">
            <w:pPr>
              <w:rPr>
                <w:b/>
                <w:bCs/>
              </w:rPr>
            </w:pPr>
            <w:r>
              <w:rPr>
                <w:b/>
                <w:bCs/>
              </w:rPr>
              <w:t>Titration</w:t>
            </w:r>
            <w:r w:rsidR="009B7A10" w:rsidRPr="009B7A10">
              <w:rPr>
                <w:b/>
                <w:bCs/>
              </w:rPr>
              <w:t xml:space="preserve"> of </w:t>
            </w:r>
            <w:proofErr w:type="spellStart"/>
            <w:r w:rsidR="009B7A10" w:rsidRPr="009B7A10">
              <w:rPr>
                <w:b/>
                <w:bCs/>
              </w:rPr>
              <w:t>hexaammino</w:t>
            </w:r>
            <w:proofErr w:type="spellEnd"/>
            <w:r w:rsidR="009B7A10" w:rsidRPr="009B7A10">
              <w:rPr>
                <w:b/>
                <w:bCs/>
              </w:rPr>
              <w:t xml:space="preserve"> cobalt III complex</w:t>
            </w:r>
          </w:p>
        </w:tc>
      </w:tr>
      <w:tr w:rsidR="009B7A10" w14:paraId="6C284F30" w14:textId="77777777" w:rsidTr="00AB36B7">
        <w:trPr>
          <w:trHeight w:val="566"/>
        </w:trPr>
        <w:tc>
          <w:tcPr>
            <w:tcW w:w="3261" w:type="dxa"/>
          </w:tcPr>
          <w:p w14:paraId="22F1EE9C" w14:textId="77777777" w:rsidR="009B7A10" w:rsidRDefault="00112217" w:rsidP="00AB36B7">
            <w:r>
              <w:t>Sodium hydroxide is corrosive to skin and eyes</w:t>
            </w:r>
          </w:p>
          <w:p w14:paraId="19FFBBA9" w14:textId="6786D649" w:rsidR="00112217" w:rsidRPr="005E10D3" w:rsidRDefault="00112217" w:rsidP="00AB36B7">
            <w:r>
              <w:t xml:space="preserve">4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>sodium hydroxide is also corrosive</w:t>
            </w:r>
          </w:p>
        </w:tc>
        <w:tc>
          <w:tcPr>
            <w:tcW w:w="2409" w:type="dxa"/>
          </w:tcPr>
          <w:p w14:paraId="02CEF26D" w14:textId="6CC76356" w:rsidR="009B7A10" w:rsidRPr="00EC550B" w:rsidRDefault="00112217" w:rsidP="00AB36B7">
            <w:r>
              <w:t xml:space="preserve">Technician </w:t>
            </w:r>
            <w:r w:rsidR="00921F1F">
              <w:t>while preparing or teacher/pupils while using solution by splashes</w:t>
            </w:r>
          </w:p>
        </w:tc>
        <w:tc>
          <w:tcPr>
            <w:tcW w:w="5783" w:type="dxa"/>
          </w:tcPr>
          <w:p w14:paraId="583703A2" w14:textId="69C89485" w:rsidR="009B7A10" w:rsidRPr="00334C42" w:rsidRDefault="00921F1F" w:rsidP="00AB36B7">
            <w:r w:rsidRPr="00923AC6">
              <w:t xml:space="preserve">Wear </w:t>
            </w:r>
            <w:r>
              <w:t>goggles (BS EN 166</w:t>
            </w:r>
            <w:r w:rsidR="00954E8A">
              <w:t xml:space="preserve"> 3)</w:t>
            </w:r>
            <w:r w:rsidR="00772A79">
              <w:t xml:space="preserve"> </w:t>
            </w:r>
            <w:r w:rsidRPr="00923AC6">
              <w:t xml:space="preserve">and </w:t>
            </w:r>
            <w:r>
              <w:t>gloves.</w:t>
            </w:r>
          </w:p>
        </w:tc>
        <w:tc>
          <w:tcPr>
            <w:tcW w:w="1134" w:type="dxa"/>
          </w:tcPr>
          <w:p w14:paraId="519334FF" w14:textId="77777777" w:rsidR="009B7A10" w:rsidRDefault="009B7A10" w:rsidP="00AB36B7"/>
        </w:tc>
        <w:tc>
          <w:tcPr>
            <w:tcW w:w="993" w:type="dxa"/>
          </w:tcPr>
          <w:p w14:paraId="1764EEA2" w14:textId="77777777" w:rsidR="009B7A10" w:rsidRDefault="009B7A10" w:rsidP="00AB36B7"/>
        </w:tc>
        <w:tc>
          <w:tcPr>
            <w:tcW w:w="708" w:type="dxa"/>
          </w:tcPr>
          <w:p w14:paraId="16238815" w14:textId="77777777" w:rsidR="009B7A10" w:rsidRDefault="009B7A10" w:rsidP="00AB36B7"/>
        </w:tc>
      </w:tr>
      <w:tr w:rsidR="00921F1F" w14:paraId="67E9976E" w14:textId="77777777" w:rsidTr="00AB36B7">
        <w:trPr>
          <w:trHeight w:val="566"/>
        </w:trPr>
        <w:tc>
          <w:tcPr>
            <w:tcW w:w="3261" w:type="dxa"/>
          </w:tcPr>
          <w:p w14:paraId="77984B6C" w14:textId="298914F1" w:rsidR="00475E8A" w:rsidRDefault="00921F1F" w:rsidP="00475E8A">
            <w:r>
              <w:lastRenderedPageBreak/>
              <w:t xml:space="preserve">Boiling the </w:t>
            </w:r>
            <w:r w:rsidR="00475E8A">
              <w:t xml:space="preserve">solution produces ammonia which is </w:t>
            </w:r>
            <w:r w:rsidR="00475E8A">
              <w:t>corrosive and toxic by inhalation</w:t>
            </w:r>
          </w:p>
          <w:p w14:paraId="6CEBBBA2" w14:textId="2892654C" w:rsidR="00921F1F" w:rsidRDefault="00921F1F" w:rsidP="00AB36B7"/>
        </w:tc>
        <w:tc>
          <w:tcPr>
            <w:tcW w:w="2409" w:type="dxa"/>
          </w:tcPr>
          <w:p w14:paraId="2A8A1C0E" w14:textId="26C6133E" w:rsidR="00921F1F" w:rsidRDefault="00EA4631" w:rsidP="00AB36B7">
            <w:r>
              <w:t>Teacher or pupils by inhalation of fumes</w:t>
            </w:r>
          </w:p>
        </w:tc>
        <w:tc>
          <w:tcPr>
            <w:tcW w:w="5783" w:type="dxa"/>
          </w:tcPr>
          <w:p w14:paraId="0F6315A3" w14:textId="18E7CD91" w:rsidR="00921F1F" w:rsidRPr="00923AC6" w:rsidRDefault="00EA4631" w:rsidP="00AB36B7">
            <w:r>
              <w:t>Work in a well-ventilated room or use a fume cupboard.</w:t>
            </w:r>
          </w:p>
        </w:tc>
        <w:tc>
          <w:tcPr>
            <w:tcW w:w="1134" w:type="dxa"/>
          </w:tcPr>
          <w:p w14:paraId="6741CBCE" w14:textId="77777777" w:rsidR="00921F1F" w:rsidRDefault="00921F1F" w:rsidP="00AB36B7"/>
        </w:tc>
        <w:tc>
          <w:tcPr>
            <w:tcW w:w="993" w:type="dxa"/>
          </w:tcPr>
          <w:p w14:paraId="62348383" w14:textId="77777777" w:rsidR="00921F1F" w:rsidRDefault="00921F1F" w:rsidP="00AB36B7"/>
        </w:tc>
        <w:tc>
          <w:tcPr>
            <w:tcW w:w="708" w:type="dxa"/>
          </w:tcPr>
          <w:p w14:paraId="13A62517" w14:textId="77777777" w:rsidR="00921F1F" w:rsidRDefault="00921F1F" w:rsidP="00AB36B7"/>
        </w:tc>
      </w:tr>
      <w:tr w:rsidR="00EA4631" w14:paraId="00C31349" w14:textId="77777777" w:rsidTr="00CB1B19">
        <w:trPr>
          <w:trHeight w:val="709"/>
        </w:trPr>
        <w:tc>
          <w:tcPr>
            <w:tcW w:w="3261" w:type="dxa"/>
          </w:tcPr>
          <w:p w14:paraId="1964DDB7" w14:textId="77777777" w:rsidR="00EA4631" w:rsidRDefault="00EA4631" w:rsidP="00CB1B19">
            <w:r>
              <w:t>Concentrated hydrochloric acid is corrosive and produces corrosive fumes.</w:t>
            </w:r>
          </w:p>
          <w:p w14:paraId="4D9A856E" w14:textId="02807610" w:rsidR="00EA4631" w:rsidRPr="005E10D3" w:rsidRDefault="00EA4631" w:rsidP="00CB1B19"/>
        </w:tc>
        <w:tc>
          <w:tcPr>
            <w:tcW w:w="2409" w:type="dxa"/>
          </w:tcPr>
          <w:p w14:paraId="3BFD9F88" w14:textId="13DEDBA8" w:rsidR="00EA4631" w:rsidRPr="00EC550B" w:rsidRDefault="00954E8A" w:rsidP="00CB1B19">
            <w:r>
              <w:t>Teacher or pupil carrying out experiment by splashes or inhalation</w:t>
            </w:r>
          </w:p>
        </w:tc>
        <w:tc>
          <w:tcPr>
            <w:tcW w:w="5783" w:type="dxa"/>
          </w:tcPr>
          <w:p w14:paraId="0BDE04B1" w14:textId="041A3989" w:rsidR="00EA4631" w:rsidRDefault="00EA4631" w:rsidP="00CB1B19">
            <w:r w:rsidRPr="00923AC6">
              <w:t xml:space="preserve">Wear </w:t>
            </w:r>
            <w:r w:rsidR="00954E8A">
              <w:t>goggles (EN 166 3)</w:t>
            </w:r>
            <w:r>
              <w:t xml:space="preserve"> </w:t>
            </w:r>
            <w:r w:rsidRPr="00923AC6">
              <w:t xml:space="preserve">and </w:t>
            </w:r>
            <w:r>
              <w:t>gloves. Work in a well-ventilated room or, if the quantity is more th</w:t>
            </w:r>
            <w:r w:rsidR="003F3AD3">
              <w:t>a</w:t>
            </w:r>
            <w:r>
              <w:t>n a few cm3, use a fume cupboard.</w:t>
            </w:r>
          </w:p>
          <w:p w14:paraId="5F66BD6F" w14:textId="679D6D68" w:rsidR="00EA4631" w:rsidRPr="00334C42" w:rsidRDefault="00EA4631" w:rsidP="00CB1B19"/>
        </w:tc>
        <w:tc>
          <w:tcPr>
            <w:tcW w:w="1134" w:type="dxa"/>
          </w:tcPr>
          <w:p w14:paraId="037E41F1" w14:textId="77777777" w:rsidR="00EA4631" w:rsidRDefault="00EA4631" w:rsidP="00CB1B19"/>
        </w:tc>
        <w:tc>
          <w:tcPr>
            <w:tcW w:w="993" w:type="dxa"/>
          </w:tcPr>
          <w:p w14:paraId="1DB45C45" w14:textId="77777777" w:rsidR="00EA4631" w:rsidRDefault="00EA4631" w:rsidP="00CB1B19"/>
        </w:tc>
        <w:tc>
          <w:tcPr>
            <w:tcW w:w="708" w:type="dxa"/>
          </w:tcPr>
          <w:p w14:paraId="2B4492DE" w14:textId="77777777" w:rsidR="00EA4631" w:rsidRDefault="00EA4631" w:rsidP="00CB1B19"/>
        </w:tc>
      </w:tr>
      <w:tr w:rsidR="00EA4631" w14:paraId="49F7EB20" w14:textId="77777777" w:rsidTr="00AB36B7">
        <w:trPr>
          <w:trHeight w:val="566"/>
        </w:trPr>
        <w:tc>
          <w:tcPr>
            <w:tcW w:w="3261" w:type="dxa"/>
          </w:tcPr>
          <w:p w14:paraId="7D3D2EFC" w14:textId="77777777" w:rsidR="00EA4631" w:rsidRDefault="00411978" w:rsidP="00475E8A">
            <w:r>
              <w:t xml:space="preserve">Cobalt III oxide is </w:t>
            </w:r>
            <w:r w:rsidR="00DC48E8">
              <w:t>harmful if swallowed a skin sensitiser and possible carcinogen.</w:t>
            </w:r>
          </w:p>
          <w:p w14:paraId="54AECDD5" w14:textId="14AFDACA" w:rsidR="00BB1275" w:rsidRDefault="00BB1275" w:rsidP="00475E8A">
            <w:r>
              <w:t xml:space="preserve">Cobalt II </w:t>
            </w:r>
            <w:r w:rsidR="00FC63CF">
              <w:t>compounds are carcinogens by inhalation</w:t>
            </w:r>
          </w:p>
        </w:tc>
        <w:tc>
          <w:tcPr>
            <w:tcW w:w="2409" w:type="dxa"/>
          </w:tcPr>
          <w:p w14:paraId="511B5538" w14:textId="0555F1C0" w:rsidR="00EA4631" w:rsidRDefault="00DC48E8" w:rsidP="00AB36B7">
            <w:r>
              <w:t>Teacher or pupil carrying out experiment by i</w:t>
            </w:r>
            <w:r w:rsidR="00FC63CF">
              <w:t>nhalation.</w:t>
            </w:r>
          </w:p>
        </w:tc>
        <w:tc>
          <w:tcPr>
            <w:tcW w:w="5783" w:type="dxa"/>
          </w:tcPr>
          <w:p w14:paraId="20A13451" w14:textId="397B0103" w:rsidR="00EA4631" w:rsidRDefault="00FC63CF" w:rsidP="00AB36B7">
            <w:r>
              <w:t>Cover the container while boiling and/or work in a fume cupboard.</w:t>
            </w:r>
            <w:r w:rsidR="00DC48E8">
              <w:t xml:space="preserve"> </w:t>
            </w:r>
          </w:p>
        </w:tc>
        <w:tc>
          <w:tcPr>
            <w:tcW w:w="1134" w:type="dxa"/>
          </w:tcPr>
          <w:p w14:paraId="6360BB46" w14:textId="77777777" w:rsidR="00EA4631" w:rsidRDefault="00EA4631" w:rsidP="00AB36B7"/>
        </w:tc>
        <w:tc>
          <w:tcPr>
            <w:tcW w:w="993" w:type="dxa"/>
          </w:tcPr>
          <w:p w14:paraId="10FD60F2" w14:textId="77777777" w:rsidR="00EA4631" w:rsidRDefault="00EA4631" w:rsidP="00AB36B7"/>
        </w:tc>
        <w:tc>
          <w:tcPr>
            <w:tcW w:w="708" w:type="dxa"/>
          </w:tcPr>
          <w:p w14:paraId="637CE8B2" w14:textId="77777777" w:rsidR="00EA4631" w:rsidRDefault="00EA4631" w:rsidP="00AB36B7"/>
        </w:tc>
      </w:tr>
      <w:tr w:rsidR="00791DB3" w:rsidRPr="009B7A10" w14:paraId="56EFE3FF" w14:textId="77777777" w:rsidTr="00CB1B19">
        <w:trPr>
          <w:trHeight w:val="334"/>
        </w:trPr>
        <w:tc>
          <w:tcPr>
            <w:tcW w:w="14288" w:type="dxa"/>
            <w:gridSpan w:val="6"/>
            <w:shd w:val="clear" w:color="auto" w:fill="B6DDE8" w:themeFill="accent5" w:themeFillTint="66"/>
          </w:tcPr>
          <w:p w14:paraId="664A9981" w14:textId="1D333C41" w:rsidR="00791DB3" w:rsidRPr="009B7A10" w:rsidRDefault="00B50E87" w:rsidP="00CB1B19">
            <w:pPr>
              <w:rPr>
                <w:b/>
                <w:bCs/>
              </w:rPr>
            </w:pPr>
            <w:r>
              <w:rPr>
                <w:b/>
                <w:bCs/>
              </w:rPr>
              <w:t>Synthesis of</w:t>
            </w:r>
            <w:r w:rsidRPr="00E45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0E87">
              <w:rPr>
                <w:b/>
                <w:bCs/>
              </w:rPr>
              <w:t>dichloro-bis-(1,2-diaminoethane) cobalt (III) chloride</w:t>
            </w:r>
            <w:r w:rsidR="004552CE">
              <w:rPr>
                <w:b/>
                <w:bCs/>
              </w:rPr>
              <w:t xml:space="preserve"> isomers</w:t>
            </w:r>
          </w:p>
        </w:tc>
      </w:tr>
      <w:tr w:rsidR="00791DB3" w14:paraId="34E977CC" w14:textId="77777777" w:rsidTr="00CB1B19">
        <w:trPr>
          <w:trHeight w:val="604"/>
        </w:trPr>
        <w:tc>
          <w:tcPr>
            <w:tcW w:w="3261" w:type="dxa"/>
          </w:tcPr>
          <w:p w14:paraId="35B01A56" w14:textId="77777777" w:rsidR="00791DB3" w:rsidRPr="00056905" w:rsidRDefault="00791DB3" w:rsidP="00CB1B19">
            <w:pPr>
              <w:rPr>
                <w:b/>
                <w:bCs/>
              </w:rPr>
            </w:pPr>
            <w:r>
              <w:t xml:space="preserve">Cobalt chloride is harmful is swallowed, a skin/respiratory sensitiser, a mutagen, </w:t>
            </w:r>
            <w:proofErr w:type="gramStart"/>
            <w:r>
              <w:t>carcinogen</w:t>
            </w:r>
            <w:proofErr w:type="gramEnd"/>
            <w:r>
              <w:t xml:space="preserve"> and reproductive toxin.</w:t>
            </w:r>
          </w:p>
        </w:tc>
        <w:tc>
          <w:tcPr>
            <w:tcW w:w="2409" w:type="dxa"/>
          </w:tcPr>
          <w:p w14:paraId="3FEF2531" w14:textId="2A7BC8D7" w:rsidR="00791DB3" w:rsidRPr="00EC550B" w:rsidRDefault="00791DB3" w:rsidP="00CB1B19">
            <w:r>
              <w:t>Technician</w:t>
            </w:r>
            <w:r w:rsidR="00215364">
              <w:t xml:space="preserve">, </w:t>
            </w:r>
            <w:proofErr w:type="gramStart"/>
            <w:r w:rsidR="00215364">
              <w:t>teacher</w:t>
            </w:r>
            <w:proofErr w:type="gramEnd"/>
            <w:r w:rsidR="00215364">
              <w:t xml:space="preserve"> or pupil, </w:t>
            </w:r>
            <w:r>
              <w:t>preparing solution– by inhalation</w:t>
            </w:r>
            <w:r w:rsidR="00215364">
              <w:t>.</w:t>
            </w:r>
          </w:p>
        </w:tc>
        <w:tc>
          <w:tcPr>
            <w:tcW w:w="5783" w:type="dxa"/>
          </w:tcPr>
          <w:p w14:paraId="54729B5F" w14:textId="4F528FD2" w:rsidR="00791DB3" w:rsidRPr="00334C42" w:rsidRDefault="00791DB3" w:rsidP="00CB1B19">
            <w:r>
              <w:t>Most of the hazards are only significant if the cobalt chloride is inhaled. Work in a well-ventilated room</w:t>
            </w:r>
            <w:r w:rsidR="00EF26AE">
              <w:t>. Wear eye protection and consider gloves.</w:t>
            </w:r>
          </w:p>
        </w:tc>
        <w:tc>
          <w:tcPr>
            <w:tcW w:w="1134" w:type="dxa"/>
          </w:tcPr>
          <w:p w14:paraId="4BBF6BCB" w14:textId="77777777" w:rsidR="00791DB3" w:rsidRDefault="00791DB3" w:rsidP="00CB1B19"/>
        </w:tc>
        <w:tc>
          <w:tcPr>
            <w:tcW w:w="993" w:type="dxa"/>
          </w:tcPr>
          <w:p w14:paraId="09973440" w14:textId="77777777" w:rsidR="00791DB3" w:rsidRDefault="00791DB3" w:rsidP="00CB1B19"/>
        </w:tc>
        <w:tc>
          <w:tcPr>
            <w:tcW w:w="708" w:type="dxa"/>
          </w:tcPr>
          <w:p w14:paraId="08BC2523" w14:textId="77777777" w:rsidR="00791DB3" w:rsidRDefault="00791DB3" w:rsidP="00CB1B19"/>
        </w:tc>
      </w:tr>
      <w:tr w:rsidR="0008531A" w14:paraId="31470BEC" w14:textId="77777777" w:rsidTr="00AB36B7">
        <w:trPr>
          <w:trHeight w:val="566"/>
        </w:trPr>
        <w:tc>
          <w:tcPr>
            <w:tcW w:w="3261" w:type="dxa"/>
          </w:tcPr>
          <w:p w14:paraId="01486ECD" w14:textId="20ED5472" w:rsidR="0008531A" w:rsidRDefault="00EF26AE" w:rsidP="00475E8A">
            <w:r w:rsidRPr="0008531A">
              <w:t>1,2-diaminoethane</w:t>
            </w:r>
            <w:r w:rsidR="00055406">
              <w:t xml:space="preserve"> is flammable</w:t>
            </w:r>
            <w:r w:rsidR="00C6632D">
              <w:t>, harmful if swallowed or in contact with skin, Corrosive to skin and eyes and a skin sensitiser</w:t>
            </w:r>
          </w:p>
        </w:tc>
        <w:tc>
          <w:tcPr>
            <w:tcW w:w="2409" w:type="dxa"/>
          </w:tcPr>
          <w:p w14:paraId="0D13B163" w14:textId="77777777" w:rsidR="00A25340" w:rsidRDefault="00A25340" w:rsidP="00AB36B7">
            <w:r>
              <w:t>Technician preparing 10% solution.</w:t>
            </w:r>
          </w:p>
          <w:p w14:paraId="52CF5ECD" w14:textId="133255D6" w:rsidR="0008531A" w:rsidRDefault="00D17904" w:rsidP="00AB36B7">
            <w:r>
              <w:t>Pupil carrying out reaction by spillage</w:t>
            </w:r>
            <w:r w:rsidR="00471832">
              <w:t xml:space="preserve"> or fire</w:t>
            </w:r>
          </w:p>
        </w:tc>
        <w:tc>
          <w:tcPr>
            <w:tcW w:w="5783" w:type="dxa"/>
          </w:tcPr>
          <w:p w14:paraId="5DC14B7E" w14:textId="77777777" w:rsidR="00471832" w:rsidRDefault="00471832" w:rsidP="00AB36B7">
            <w:r>
              <w:t xml:space="preserve">Handle in a fume cupboard. </w:t>
            </w:r>
          </w:p>
          <w:p w14:paraId="73E8EFAD" w14:textId="77777777" w:rsidR="0008531A" w:rsidRDefault="00471832" w:rsidP="00AB36B7">
            <w:r>
              <w:t>Keep away from sources of ignition.</w:t>
            </w:r>
          </w:p>
          <w:p w14:paraId="7874BE61" w14:textId="3ED2BBB3" w:rsidR="00471832" w:rsidRDefault="00471832" w:rsidP="00AB36B7">
            <w:r>
              <w:t>Wear goggles (EN 166 3) and gloves.</w:t>
            </w:r>
          </w:p>
        </w:tc>
        <w:tc>
          <w:tcPr>
            <w:tcW w:w="1134" w:type="dxa"/>
          </w:tcPr>
          <w:p w14:paraId="31B887B9" w14:textId="77777777" w:rsidR="0008531A" w:rsidRDefault="0008531A" w:rsidP="00AB36B7"/>
        </w:tc>
        <w:tc>
          <w:tcPr>
            <w:tcW w:w="993" w:type="dxa"/>
          </w:tcPr>
          <w:p w14:paraId="0F3BA10C" w14:textId="77777777" w:rsidR="0008531A" w:rsidRDefault="0008531A" w:rsidP="00AB36B7"/>
        </w:tc>
        <w:tc>
          <w:tcPr>
            <w:tcW w:w="708" w:type="dxa"/>
          </w:tcPr>
          <w:p w14:paraId="7D9DFEDB" w14:textId="77777777" w:rsidR="0008531A" w:rsidRDefault="0008531A" w:rsidP="00AB36B7"/>
        </w:tc>
      </w:tr>
      <w:tr w:rsidR="000539DB" w14:paraId="19147FD2" w14:textId="77777777" w:rsidTr="00CB1B19">
        <w:trPr>
          <w:trHeight w:val="709"/>
        </w:trPr>
        <w:tc>
          <w:tcPr>
            <w:tcW w:w="3261" w:type="dxa"/>
          </w:tcPr>
          <w:p w14:paraId="3CFF3F71" w14:textId="77777777" w:rsidR="000539DB" w:rsidRDefault="000539DB" w:rsidP="00CB1B19">
            <w:r>
              <w:t>Concentrated hydrochloric acid is corrosive and produces corrosive fumes.</w:t>
            </w:r>
          </w:p>
          <w:p w14:paraId="27319A0F" w14:textId="77777777" w:rsidR="000539DB" w:rsidRPr="005E10D3" w:rsidRDefault="000539DB" w:rsidP="00CB1B19"/>
        </w:tc>
        <w:tc>
          <w:tcPr>
            <w:tcW w:w="2409" w:type="dxa"/>
          </w:tcPr>
          <w:p w14:paraId="34EFFA48" w14:textId="77777777" w:rsidR="000539DB" w:rsidRPr="00EC550B" w:rsidRDefault="000539DB" w:rsidP="00CB1B19">
            <w:r>
              <w:t>Teacher or pupil carrying out experiment by splashes or inhalation</w:t>
            </w:r>
          </w:p>
        </w:tc>
        <w:tc>
          <w:tcPr>
            <w:tcW w:w="5783" w:type="dxa"/>
          </w:tcPr>
          <w:p w14:paraId="756164E9" w14:textId="77777777" w:rsidR="000539DB" w:rsidRDefault="000539DB" w:rsidP="00CB1B19">
            <w:r w:rsidRPr="00923AC6">
              <w:t xml:space="preserve">Wear </w:t>
            </w:r>
            <w:r>
              <w:t xml:space="preserve">goggles (EN 166 3) </w:t>
            </w:r>
            <w:r w:rsidRPr="00923AC6">
              <w:t xml:space="preserve">and </w:t>
            </w:r>
            <w:r>
              <w:t>gloves. Work in a well-ventilated room or, if the quantity is more than a few cm</w:t>
            </w:r>
            <w:r w:rsidRPr="00D305F4">
              <w:rPr>
                <w:vertAlign w:val="superscript"/>
              </w:rPr>
              <w:t>3</w:t>
            </w:r>
            <w:r>
              <w:t>, use a fume cupboard.</w:t>
            </w:r>
          </w:p>
          <w:p w14:paraId="346926CC" w14:textId="77777777" w:rsidR="000539DB" w:rsidRPr="00334C42" w:rsidRDefault="000539DB" w:rsidP="00CB1B19"/>
        </w:tc>
        <w:tc>
          <w:tcPr>
            <w:tcW w:w="1134" w:type="dxa"/>
          </w:tcPr>
          <w:p w14:paraId="4102262B" w14:textId="77777777" w:rsidR="000539DB" w:rsidRDefault="000539DB" w:rsidP="00CB1B19"/>
        </w:tc>
        <w:tc>
          <w:tcPr>
            <w:tcW w:w="993" w:type="dxa"/>
          </w:tcPr>
          <w:p w14:paraId="0A7F1318" w14:textId="77777777" w:rsidR="000539DB" w:rsidRDefault="000539DB" w:rsidP="00CB1B19"/>
        </w:tc>
        <w:tc>
          <w:tcPr>
            <w:tcW w:w="708" w:type="dxa"/>
          </w:tcPr>
          <w:p w14:paraId="480C4088" w14:textId="77777777" w:rsidR="000539DB" w:rsidRDefault="000539DB" w:rsidP="00CB1B19"/>
        </w:tc>
      </w:tr>
      <w:tr w:rsidR="0008531A" w14:paraId="65895C0D" w14:textId="77777777" w:rsidTr="00AB36B7">
        <w:trPr>
          <w:trHeight w:val="566"/>
        </w:trPr>
        <w:tc>
          <w:tcPr>
            <w:tcW w:w="3261" w:type="dxa"/>
          </w:tcPr>
          <w:p w14:paraId="63B94E85" w14:textId="4F3FA11D" w:rsidR="0008531A" w:rsidRDefault="00110016" w:rsidP="00475E8A">
            <w:r>
              <w:t>Ethanol is highly flammable</w:t>
            </w:r>
            <w:r w:rsidR="004552CE">
              <w:t>. A 50% solution is still flammable.</w:t>
            </w:r>
          </w:p>
        </w:tc>
        <w:tc>
          <w:tcPr>
            <w:tcW w:w="2409" w:type="dxa"/>
          </w:tcPr>
          <w:p w14:paraId="57063C93" w14:textId="6E2684E5" w:rsidR="0008531A" w:rsidRDefault="004552CE" w:rsidP="00AB36B7">
            <w:r>
              <w:t>Pupil while washing or recrystallizing from ethanol</w:t>
            </w:r>
          </w:p>
        </w:tc>
        <w:tc>
          <w:tcPr>
            <w:tcW w:w="5783" w:type="dxa"/>
          </w:tcPr>
          <w:p w14:paraId="69714086" w14:textId="77777777" w:rsidR="004552CE" w:rsidRDefault="004552CE" w:rsidP="004552CE">
            <w:r>
              <w:t>Keep away from sources of ignition.</w:t>
            </w:r>
          </w:p>
          <w:p w14:paraId="254EC1B3" w14:textId="77777777" w:rsidR="0008531A" w:rsidRDefault="0008531A" w:rsidP="00AB36B7"/>
        </w:tc>
        <w:tc>
          <w:tcPr>
            <w:tcW w:w="1134" w:type="dxa"/>
          </w:tcPr>
          <w:p w14:paraId="5969B1E3" w14:textId="77777777" w:rsidR="0008531A" w:rsidRDefault="0008531A" w:rsidP="00AB36B7"/>
        </w:tc>
        <w:tc>
          <w:tcPr>
            <w:tcW w:w="993" w:type="dxa"/>
          </w:tcPr>
          <w:p w14:paraId="46DA44B4" w14:textId="77777777" w:rsidR="0008531A" w:rsidRDefault="0008531A" w:rsidP="00AB36B7"/>
        </w:tc>
        <w:tc>
          <w:tcPr>
            <w:tcW w:w="708" w:type="dxa"/>
          </w:tcPr>
          <w:p w14:paraId="3E8A952B" w14:textId="77777777" w:rsidR="0008531A" w:rsidRDefault="0008531A" w:rsidP="00AB36B7"/>
        </w:tc>
      </w:tr>
      <w:tr w:rsidR="004552CE" w14:paraId="4C9BC754" w14:textId="77777777" w:rsidTr="00AB36B7">
        <w:trPr>
          <w:trHeight w:val="566"/>
        </w:trPr>
        <w:tc>
          <w:tcPr>
            <w:tcW w:w="3261" w:type="dxa"/>
          </w:tcPr>
          <w:p w14:paraId="1CAEB24A" w14:textId="39913D10" w:rsidR="004552CE" w:rsidRDefault="004552CE" w:rsidP="00475E8A">
            <w:r>
              <w:t>PET ethers are highly flammable</w:t>
            </w:r>
          </w:p>
        </w:tc>
        <w:tc>
          <w:tcPr>
            <w:tcW w:w="2409" w:type="dxa"/>
          </w:tcPr>
          <w:p w14:paraId="74FA73C2" w14:textId="1B9738CA" w:rsidR="004552CE" w:rsidRDefault="004552CE" w:rsidP="00AB36B7">
            <w:r>
              <w:t xml:space="preserve">Pupil while washing </w:t>
            </w:r>
            <w:r>
              <w:t>with</w:t>
            </w:r>
            <w:r>
              <w:t xml:space="preserve"> </w:t>
            </w:r>
            <w:r>
              <w:t>PET ether</w:t>
            </w:r>
          </w:p>
        </w:tc>
        <w:tc>
          <w:tcPr>
            <w:tcW w:w="5783" w:type="dxa"/>
          </w:tcPr>
          <w:p w14:paraId="4737C021" w14:textId="5984870F" w:rsidR="004552CE" w:rsidRDefault="004552CE" w:rsidP="004552CE">
            <w:r>
              <w:t>Keep away from sources of ignition.</w:t>
            </w:r>
          </w:p>
        </w:tc>
        <w:tc>
          <w:tcPr>
            <w:tcW w:w="1134" w:type="dxa"/>
          </w:tcPr>
          <w:p w14:paraId="40D28622" w14:textId="77777777" w:rsidR="004552CE" w:rsidRDefault="004552CE" w:rsidP="00AB36B7"/>
        </w:tc>
        <w:tc>
          <w:tcPr>
            <w:tcW w:w="993" w:type="dxa"/>
          </w:tcPr>
          <w:p w14:paraId="67709F84" w14:textId="77777777" w:rsidR="004552CE" w:rsidRDefault="004552CE" w:rsidP="00AB36B7"/>
        </w:tc>
        <w:tc>
          <w:tcPr>
            <w:tcW w:w="708" w:type="dxa"/>
          </w:tcPr>
          <w:p w14:paraId="66A46AA2" w14:textId="77777777" w:rsidR="004552CE" w:rsidRDefault="004552CE" w:rsidP="00AB36B7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7029C582" w14:textId="77777777" w:rsidR="00391B57" w:rsidRDefault="00391B57" w:rsidP="00B61F5D">
            <w:pPr>
              <w:ind w:firstLine="21"/>
            </w:pPr>
          </w:p>
          <w:p w14:paraId="30D0258D" w14:textId="77777777" w:rsidR="00544D04" w:rsidRDefault="004D4887" w:rsidP="0081288C">
            <w:pPr>
              <w:ind w:firstLine="21"/>
            </w:pPr>
            <w:r w:rsidRPr="004D4887">
              <w:t xml:space="preserve">A </w:t>
            </w:r>
            <w:proofErr w:type="spellStart"/>
            <w:r w:rsidRPr="004D4887">
              <w:t>hexaammino</w:t>
            </w:r>
            <w:proofErr w:type="spellEnd"/>
            <w:r w:rsidRPr="004D4887">
              <w:t xml:space="preserve"> cobalt III complex</w:t>
            </w:r>
            <w:r>
              <w:t xml:space="preserve"> is </w:t>
            </w:r>
            <w:proofErr w:type="gramStart"/>
            <w:r>
              <w:t>formed  and</w:t>
            </w:r>
            <w:proofErr w:type="gramEnd"/>
            <w:r>
              <w:t xml:space="preserve"> then </w:t>
            </w:r>
            <w:proofErr w:type="spellStart"/>
            <w:r>
              <w:t>analysed</w:t>
            </w:r>
            <w:proofErr w:type="spellEnd"/>
            <w:r>
              <w:t xml:space="preserve"> by titration</w:t>
            </w:r>
            <w:r w:rsidR="00AF6A7A">
              <w:t>.</w:t>
            </w:r>
          </w:p>
          <w:p w14:paraId="1AB25BA2" w14:textId="77777777" w:rsidR="00AF6A7A" w:rsidRDefault="00AF6A7A" w:rsidP="0081288C">
            <w:pPr>
              <w:ind w:firstLine="21"/>
            </w:pPr>
          </w:p>
          <w:p w14:paraId="5EB5F045" w14:textId="7802B8FC" w:rsidR="00AF6A7A" w:rsidRPr="00433122" w:rsidRDefault="00AF6A7A" w:rsidP="0081288C">
            <w:pPr>
              <w:ind w:firstLine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and Trans isomers of </w:t>
            </w:r>
            <w:r w:rsidRPr="00AF6A7A">
              <w:t>dichloro-bis-(1,2-diaminoethane) cobalt (III)</w:t>
            </w:r>
            <w:r>
              <w:t xml:space="preserve"> are also </w:t>
            </w:r>
            <w:proofErr w:type="spellStart"/>
            <w:r>
              <w:t>synthesised</w:t>
            </w:r>
            <w:proofErr w:type="spellEnd"/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9"/>
      </w:tblGrid>
      <w:tr w:rsidR="00CC27BB" w14:paraId="46978DC4" w14:textId="77777777" w:rsidTr="00272D18">
        <w:trPr>
          <w:trHeight w:val="1462"/>
        </w:trPr>
        <w:tc>
          <w:tcPr>
            <w:tcW w:w="14029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AD10CDF" w14:textId="77777777" w:rsidR="00CC27BB" w:rsidRDefault="00CC27BB" w:rsidP="00AA4034"/>
          <w:p w14:paraId="7857424D" w14:textId="0EF8DE1A" w:rsidR="00B50C2C" w:rsidRDefault="00360E09" w:rsidP="00E52BBD">
            <w:r>
              <w:t>The complexes are not well characterized but it is best to assume they have similar hazards to other cobalt compounds. Be particularly cautio</w:t>
            </w:r>
            <w:r w:rsidR="008C014D">
              <w:t>u</w:t>
            </w:r>
            <w:r>
              <w:t xml:space="preserve">s of raising dust or aerosols that can be </w:t>
            </w:r>
            <w:proofErr w:type="spellStart"/>
            <w:r>
              <w:t>inmhaled</w:t>
            </w:r>
            <w:proofErr w:type="spellEnd"/>
            <w:r>
              <w:t>.</w:t>
            </w:r>
          </w:p>
        </w:tc>
      </w:tr>
    </w:tbl>
    <w:p w14:paraId="412B5F15" w14:textId="77777777" w:rsidR="00185440" w:rsidRDefault="008C014D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EE16A" w14:textId="77777777" w:rsidR="00336F6F" w:rsidRDefault="00336F6F">
      <w:r>
        <w:separator/>
      </w:r>
    </w:p>
  </w:endnote>
  <w:endnote w:type="continuationSeparator" w:id="0">
    <w:p w14:paraId="52AB5C57" w14:textId="77777777" w:rsidR="00336F6F" w:rsidRDefault="0033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8C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8C0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1EC27" w14:textId="77777777" w:rsidR="00336F6F" w:rsidRDefault="00336F6F">
      <w:r>
        <w:separator/>
      </w:r>
    </w:p>
  </w:footnote>
  <w:footnote w:type="continuationSeparator" w:id="0">
    <w:p w14:paraId="130C1EBF" w14:textId="77777777" w:rsidR="00336F6F" w:rsidRDefault="0033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8C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8C0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8C0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26017"/>
    <w:rsid w:val="00036953"/>
    <w:rsid w:val="000411AA"/>
    <w:rsid w:val="000539DB"/>
    <w:rsid w:val="00055406"/>
    <w:rsid w:val="00056905"/>
    <w:rsid w:val="00062360"/>
    <w:rsid w:val="00063E3E"/>
    <w:rsid w:val="00073352"/>
    <w:rsid w:val="00075F36"/>
    <w:rsid w:val="00077AC3"/>
    <w:rsid w:val="0008531A"/>
    <w:rsid w:val="000A0CAD"/>
    <w:rsid w:val="000A1F0E"/>
    <w:rsid w:val="000C20CB"/>
    <w:rsid w:val="000D0E3F"/>
    <w:rsid w:val="000E7345"/>
    <w:rsid w:val="000F100E"/>
    <w:rsid w:val="00107A90"/>
    <w:rsid w:val="00110016"/>
    <w:rsid w:val="00112217"/>
    <w:rsid w:val="00112662"/>
    <w:rsid w:val="00125C63"/>
    <w:rsid w:val="00137C36"/>
    <w:rsid w:val="00156F80"/>
    <w:rsid w:val="00176B56"/>
    <w:rsid w:val="001800B9"/>
    <w:rsid w:val="001A35C4"/>
    <w:rsid w:val="001A4C37"/>
    <w:rsid w:val="001A6040"/>
    <w:rsid w:val="001D090C"/>
    <w:rsid w:val="001D1C70"/>
    <w:rsid w:val="001D5AF0"/>
    <w:rsid w:val="001E07E3"/>
    <w:rsid w:val="001E2A1B"/>
    <w:rsid w:val="001E47F7"/>
    <w:rsid w:val="001F5077"/>
    <w:rsid w:val="00204988"/>
    <w:rsid w:val="00206890"/>
    <w:rsid w:val="00210072"/>
    <w:rsid w:val="00215364"/>
    <w:rsid w:val="002326A0"/>
    <w:rsid w:val="00250762"/>
    <w:rsid w:val="00253512"/>
    <w:rsid w:val="00272D18"/>
    <w:rsid w:val="00276A2D"/>
    <w:rsid w:val="00286852"/>
    <w:rsid w:val="002A3876"/>
    <w:rsid w:val="002B13CC"/>
    <w:rsid w:val="002B7A3D"/>
    <w:rsid w:val="002B7C9A"/>
    <w:rsid w:val="002C24AE"/>
    <w:rsid w:val="002D11BE"/>
    <w:rsid w:val="002D42E4"/>
    <w:rsid w:val="002E14C2"/>
    <w:rsid w:val="002E234A"/>
    <w:rsid w:val="002E6D0A"/>
    <w:rsid w:val="00301D40"/>
    <w:rsid w:val="00304BC5"/>
    <w:rsid w:val="00304C8F"/>
    <w:rsid w:val="00331814"/>
    <w:rsid w:val="00334C42"/>
    <w:rsid w:val="0033525B"/>
    <w:rsid w:val="003359C5"/>
    <w:rsid w:val="00336184"/>
    <w:rsid w:val="00336F6F"/>
    <w:rsid w:val="00337F51"/>
    <w:rsid w:val="00350637"/>
    <w:rsid w:val="00352D2C"/>
    <w:rsid w:val="00353404"/>
    <w:rsid w:val="00360E09"/>
    <w:rsid w:val="00384A41"/>
    <w:rsid w:val="00385C3E"/>
    <w:rsid w:val="00391B57"/>
    <w:rsid w:val="00393160"/>
    <w:rsid w:val="00393E7C"/>
    <w:rsid w:val="003A78B4"/>
    <w:rsid w:val="003B07D6"/>
    <w:rsid w:val="003B63DF"/>
    <w:rsid w:val="003B73A3"/>
    <w:rsid w:val="003C1700"/>
    <w:rsid w:val="003C2FB5"/>
    <w:rsid w:val="003C4206"/>
    <w:rsid w:val="003D2361"/>
    <w:rsid w:val="003D2DD0"/>
    <w:rsid w:val="003E431B"/>
    <w:rsid w:val="003F3AD3"/>
    <w:rsid w:val="003F3EA1"/>
    <w:rsid w:val="003F459F"/>
    <w:rsid w:val="004017D9"/>
    <w:rsid w:val="00407157"/>
    <w:rsid w:val="00411978"/>
    <w:rsid w:val="00423CD9"/>
    <w:rsid w:val="00433122"/>
    <w:rsid w:val="00451329"/>
    <w:rsid w:val="004552CE"/>
    <w:rsid w:val="004573DF"/>
    <w:rsid w:val="0045790D"/>
    <w:rsid w:val="00462453"/>
    <w:rsid w:val="00462EFE"/>
    <w:rsid w:val="004655A2"/>
    <w:rsid w:val="004705F6"/>
    <w:rsid w:val="00471832"/>
    <w:rsid w:val="00474450"/>
    <w:rsid w:val="00475E8A"/>
    <w:rsid w:val="00491CAB"/>
    <w:rsid w:val="004C4DCD"/>
    <w:rsid w:val="004D39A2"/>
    <w:rsid w:val="004D4887"/>
    <w:rsid w:val="004E1D4F"/>
    <w:rsid w:val="004E2074"/>
    <w:rsid w:val="004E3F3E"/>
    <w:rsid w:val="004E6BC3"/>
    <w:rsid w:val="004F3B78"/>
    <w:rsid w:val="004F536B"/>
    <w:rsid w:val="0050042B"/>
    <w:rsid w:val="00503775"/>
    <w:rsid w:val="00521D90"/>
    <w:rsid w:val="00524E81"/>
    <w:rsid w:val="005314E9"/>
    <w:rsid w:val="005358BA"/>
    <w:rsid w:val="00544D04"/>
    <w:rsid w:val="00553CA6"/>
    <w:rsid w:val="00554661"/>
    <w:rsid w:val="0058088E"/>
    <w:rsid w:val="005902A9"/>
    <w:rsid w:val="00593361"/>
    <w:rsid w:val="005B29B3"/>
    <w:rsid w:val="005C0F08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67AF9"/>
    <w:rsid w:val="006864CD"/>
    <w:rsid w:val="006A3422"/>
    <w:rsid w:val="006B2286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54F1E"/>
    <w:rsid w:val="00763E0A"/>
    <w:rsid w:val="007663E7"/>
    <w:rsid w:val="00767633"/>
    <w:rsid w:val="00772A79"/>
    <w:rsid w:val="007754F2"/>
    <w:rsid w:val="00783FD5"/>
    <w:rsid w:val="0078467D"/>
    <w:rsid w:val="00784F60"/>
    <w:rsid w:val="00791DB3"/>
    <w:rsid w:val="007A5D4D"/>
    <w:rsid w:val="007B334A"/>
    <w:rsid w:val="007B439F"/>
    <w:rsid w:val="007B4D56"/>
    <w:rsid w:val="007C5619"/>
    <w:rsid w:val="007D1320"/>
    <w:rsid w:val="007D1ABA"/>
    <w:rsid w:val="007E7665"/>
    <w:rsid w:val="007F3491"/>
    <w:rsid w:val="007F3A43"/>
    <w:rsid w:val="007F5E3B"/>
    <w:rsid w:val="007F66D7"/>
    <w:rsid w:val="00804809"/>
    <w:rsid w:val="00805DD8"/>
    <w:rsid w:val="0081148D"/>
    <w:rsid w:val="0081288C"/>
    <w:rsid w:val="00815B75"/>
    <w:rsid w:val="008211D8"/>
    <w:rsid w:val="008378DA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B3D8B"/>
    <w:rsid w:val="008B5D43"/>
    <w:rsid w:val="008C014D"/>
    <w:rsid w:val="008D5D8C"/>
    <w:rsid w:val="008E25B8"/>
    <w:rsid w:val="008F0199"/>
    <w:rsid w:val="00903375"/>
    <w:rsid w:val="009071E0"/>
    <w:rsid w:val="009133F1"/>
    <w:rsid w:val="00921F1F"/>
    <w:rsid w:val="00931DB7"/>
    <w:rsid w:val="00934390"/>
    <w:rsid w:val="009448D5"/>
    <w:rsid w:val="0094799B"/>
    <w:rsid w:val="00954E8A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B7A10"/>
    <w:rsid w:val="009C11AE"/>
    <w:rsid w:val="009D515D"/>
    <w:rsid w:val="009E0D22"/>
    <w:rsid w:val="00A12563"/>
    <w:rsid w:val="00A25340"/>
    <w:rsid w:val="00A30581"/>
    <w:rsid w:val="00A41976"/>
    <w:rsid w:val="00A467CE"/>
    <w:rsid w:val="00A47E13"/>
    <w:rsid w:val="00A516F4"/>
    <w:rsid w:val="00A55AFC"/>
    <w:rsid w:val="00A72350"/>
    <w:rsid w:val="00A73312"/>
    <w:rsid w:val="00A81B78"/>
    <w:rsid w:val="00A875E4"/>
    <w:rsid w:val="00AA4034"/>
    <w:rsid w:val="00AA532D"/>
    <w:rsid w:val="00AB36B7"/>
    <w:rsid w:val="00AC48FF"/>
    <w:rsid w:val="00AD0A0A"/>
    <w:rsid w:val="00AD4B81"/>
    <w:rsid w:val="00AE0267"/>
    <w:rsid w:val="00AE38FC"/>
    <w:rsid w:val="00AE6FF3"/>
    <w:rsid w:val="00AF1FE4"/>
    <w:rsid w:val="00AF6A7A"/>
    <w:rsid w:val="00AF71DF"/>
    <w:rsid w:val="00B23DCA"/>
    <w:rsid w:val="00B24B10"/>
    <w:rsid w:val="00B302C5"/>
    <w:rsid w:val="00B50C2C"/>
    <w:rsid w:val="00B50E87"/>
    <w:rsid w:val="00B611B3"/>
    <w:rsid w:val="00B61F5D"/>
    <w:rsid w:val="00B6438B"/>
    <w:rsid w:val="00B8315D"/>
    <w:rsid w:val="00B927C5"/>
    <w:rsid w:val="00B979C9"/>
    <w:rsid w:val="00BA3643"/>
    <w:rsid w:val="00BA7FB0"/>
    <w:rsid w:val="00BB1275"/>
    <w:rsid w:val="00BB13B1"/>
    <w:rsid w:val="00BD2F35"/>
    <w:rsid w:val="00BD6F23"/>
    <w:rsid w:val="00C03C34"/>
    <w:rsid w:val="00C06F1C"/>
    <w:rsid w:val="00C17AEF"/>
    <w:rsid w:val="00C24BA4"/>
    <w:rsid w:val="00C40B30"/>
    <w:rsid w:val="00C55A25"/>
    <w:rsid w:val="00C6632D"/>
    <w:rsid w:val="00C720D6"/>
    <w:rsid w:val="00C811DF"/>
    <w:rsid w:val="00C8648E"/>
    <w:rsid w:val="00C87A5F"/>
    <w:rsid w:val="00C87D20"/>
    <w:rsid w:val="00C942F0"/>
    <w:rsid w:val="00CA5354"/>
    <w:rsid w:val="00CA7186"/>
    <w:rsid w:val="00CA7D4F"/>
    <w:rsid w:val="00CC0570"/>
    <w:rsid w:val="00CC16E3"/>
    <w:rsid w:val="00CC27BB"/>
    <w:rsid w:val="00CE06AF"/>
    <w:rsid w:val="00CE6E0F"/>
    <w:rsid w:val="00D01A31"/>
    <w:rsid w:val="00D0477D"/>
    <w:rsid w:val="00D17904"/>
    <w:rsid w:val="00D20938"/>
    <w:rsid w:val="00D24C31"/>
    <w:rsid w:val="00D305F4"/>
    <w:rsid w:val="00D542C5"/>
    <w:rsid w:val="00D6673B"/>
    <w:rsid w:val="00D8744A"/>
    <w:rsid w:val="00D97E73"/>
    <w:rsid w:val="00DB2243"/>
    <w:rsid w:val="00DB4B85"/>
    <w:rsid w:val="00DB5AF4"/>
    <w:rsid w:val="00DC48E8"/>
    <w:rsid w:val="00DF19A1"/>
    <w:rsid w:val="00DF7BE9"/>
    <w:rsid w:val="00E05110"/>
    <w:rsid w:val="00E16922"/>
    <w:rsid w:val="00E33875"/>
    <w:rsid w:val="00E42D4C"/>
    <w:rsid w:val="00E47935"/>
    <w:rsid w:val="00E52BBD"/>
    <w:rsid w:val="00E52BC5"/>
    <w:rsid w:val="00E63069"/>
    <w:rsid w:val="00E77770"/>
    <w:rsid w:val="00E77C7D"/>
    <w:rsid w:val="00E82E1C"/>
    <w:rsid w:val="00E93AA0"/>
    <w:rsid w:val="00EA4487"/>
    <w:rsid w:val="00EA4631"/>
    <w:rsid w:val="00EB22E1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26AE"/>
    <w:rsid w:val="00EF2D12"/>
    <w:rsid w:val="00EF34FF"/>
    <w:rsid w:val="00EF7D57"/>
    <w:rsid w:val="00EF7F61"/>
    <w:rsid w:val="00F0769C"/>
    <w:rsid w:val="00F10FD1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86131"/>
    <w:rsid w:val="00F95BB0"/>
    <w:rsid w:val="00FA3CD5"/>
    <w:rsid w:val="00FA44E8"/>
    <w:rsid w:val="00FA593C"/>
    <w:rsid w:val="00FC63CF"/>
    <w:rsid w:val="00FE0B75"/>
    <w:rsid w:val="00FE2123"/>
    <w:rsid w:val="00FF2F15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341</cp:revision>
  <dcterms:created xsi:type="dcterms:W3CDTF">2019-11-27T13:54:00Z</dcterms:created>
  <dcterms:modified xsi:type="dcterms:W3CDTF">2020-11-23T21:47:00Z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