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73DD6" w14:paraId="0ABED3D4" w14:textId="77777777" w:rsidTr="00F73DD6">
        <w:tc>
          <w:tcPr>
            <w:tcW w:w="3085" w:type="dxa"/>
          </w:tcPr>
          <w:p w14:paraId="415F7095" w14:textId="77777777" w:rsidR="00F73DD6" w:rsidRDefault="00F73DD6" w:rsidP="00F73DD6">
            <w:pPr>
              <w:pStyle w:val="Heading6"/>
            </w:pPr>
            <w:r>
              <w:t>Activity assessed</w:t>
            </w:r>
          </w:p>
        </w:tc>
        <w:tc>
          <w:tcPr>
            <w:tcW w:w="5843" w:type="dxa"/>
          </w:tcPr>
          <w:p w14:paraId="056EE7CA" w14:textId="456997DF" w:rsidR="00F73DD6" w:rsidRDefault="00F73DD6" w:rsidP="00F73DD6">
            <w:r>
              <w:t>Chemical Car</w:t>
            </w:r>
          </w:p>
        </w:tc>
      </w:tr>
      <w:tr w:rsidR="00F73DD6" w14:paraId="0A748382" w14:textId="77777777" w:rsidTr="00F73DD6">
        <w:tc>
          <w:tcPr>
            <w:tcW w:w="3085" w:type="dxa"/>
          </w:tcPr>
          <w:p w14:paraId="55D11C45" w14:textId="77777777" w:rsidR="00F73DD6" w:rsidRDefault="00F73DD6" w:rsidP="00F73DD6">
            <w:pPr>
              <w:rPr>
                <w:i/>
                <w:iCs/>
              </w:rPr>
            </w:pPr>
            <w:r>
              <w:rPr>
                <w:i/>
                <w:iCs/>
              </w:rPr>
              <w:t>Date of assessment</w:t>
            </w:r>
          </w:p>
        </w:tc>
        <w:tc>
          <w:tcPr>
            <w:tcW w:w="5843" w:type="dxa"/>
          </w:tcPr>
          <w:p w14:paraId="52365C01" w14:textId="7711F8E1" w:rsidR="00F73DD6" w:rsidRDefault="00F73DD6" w:rsidP="00F73DD6">
            <w:r>
              <w:t>29/01/2013</w:t>
            </w:r>
          </w:p>
        </w:tc>
      </w:tr>
      <w:tr w:rsidR="00CC27BB" w14:paraId="1F8D67AE" w14:textId="77777777" w:rsidTr="00F73DD6">
        <w:tc>
          <w:tcPr>
            <w:tcW w:w="3085" w:type="dxa"/>
          </w:tcPr>
          <w:p w14:paraId="32E5D058" w14:textId="77777777" w:rsidR="00CC27BB" w:rsidRDefault="00CC27BB" w:rsidP="00F73DD6">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F73DD6">
            <w:pPr>
              <w:pStyle w:val="Salutation"/>
            </w:pPr>
          </w:p>
        </w:tc>
      </w:tr>
      <w:tr w:rsidR="00CC27BB" w14:paraId="7655495B" w14:textId="77777777" w:rsidTr="00F73DD6">
        <w:tc>
          <w:tcPr>
            <w:tcW w:w="3085" w:type="dxa"/>
          </w:tcPr>
          <w:p w14:paraId="0ECF34E9" w14:textId="77777777" w:rsidR="00CC27BB" w:rsidRDefault="00CC27BB" w:rsidP="00F73DD6">
            <w:pPr>
              <w:rPr>
                <w:i/>
                <w:iCs/>
              </w:rPr>
            </w:pPr>
            <w:r>
              <w:rPr>
                <w:i/>
                <w:iCs/>
              </w:rPr>
              <w:t>School</w:t>
            </w:r>
          </w:p>
        </w:tc>
        <w:tc>
          <w:tcPr>
            <w:tcW w:w="5843" w:type="dxa"/>
          </w:tcPr>
          <w:p w14:paraId="3E2D990C" w14:textId="77777777" w:rsidR="00CC27BB" w:rsidRDefault="00CC27BB" w:rsidP="00F73DD6">
            <w:pPr>
              <w:pStyle w:val="Salutation"/>
            </w:pPr>
          </w:p>
        </w:tc>
      </w:tr>
      <w:tr w:rsidR="00CC27BB" w14:paraId="5A7A51CA" w14:textId="77777777" w:rsidTr="00F73DD6">
        <w:tc>
          <w:tcPr>
            <w:tcW w:w="3085" w:type="dxa"/>
          </w:tcPr>
          <w:p w14:paraId="40EC2CC2" w14:textId="77777777" w:rsidR="00CC27BB" w:rsidRDefault="00CC27BB" w:rsidP="00F73DD6">
            <w:pPr>
              <w:rPr>
                <w:i/>
                <w:iCs/>
              </w:rPr>
            </w:pPr>
            <w:r>
              <w:rPr>
                <w:i/>
                <w:iCs/>
              </w:rPr>
              <w:t>Department</w:t>
            </w:r>
          </w:p>
        </w:tc>
        <w:tc>
          <w:tcPr>
            <w:tcW w:w="5843" w:type="dxa"/>
          </w:tcPr>
          <w:p w14:paraId="3F7DDC54" w14:textId="77777777" w:rsidR="00CC27BB" w:rsidRDefault="00CC27BB" w:rsidP="00F73DD6"/>
        </w:tc>
      </w:tr>
    </w:tbl>
    <w:p w14:paraId="21A092F8" w14:textId="250EB911" w:rsidR="00CC27BB" w:rsidRDefault="00F73DD6" w:rsidP="00CC27BB">
      <w:r>
        <w:br w:type="textWrapping" w:clear="all"/>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2268"/>
        <w:gridCol w:w="5924"/>
        <w:gridCol w:w="1134"/>
        <w:gridCol w:w="993"/>
        <w:gridCol w:w="708"/>
      </w:tblGrid>
      <w:tr w:rsidR="00CC27BB" w14:paraId="21A9275B" w14:textId="77777777" w:rsidTr="00433122">
        <w:trPr>
          <w:tblHeader/>
        </w:trPr>
        <w:tc>
          <w:tcPr>
            <w:tcW w:w="3256"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268"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5924"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433122">
        <w:trPr>
          <w:tblHeader/>
        </w:trPr>
        <w:tc>
          <w:tcPr>
            <w:tcW w:w="3256"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268"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5924"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433122">
        <w:trPr>
          <w:trHeight w:val="344"/>
        </w:trPr>
        <w:tc>
          <w:tcPr>
            <w:tcW w:w="3256" w:type="dxa"/>
            <w:vMerge/>
            <w:shd w:val="clear" w:color="auto" w:fill="FABF8F" w:themeFill="accent6" w:themeFillTint="99"/>
          </w:tcPr>
          <w:p w14:paraId="2C0ADB15" w14:textId="77777777" w:rsidR="00CC27BB" w:rsidRDefault="00CC27BB" w:rsidP="002800A0">
            <w:pPr>
              <w:pStyle w:val="Salutation"/>
              <w:rPr>
                <w:i/>
                <w:iCs/>
              </w:rPr>
            </w:pPr>
          </w:p>
        </w:tc>
        <w:tc>
          <w:tcPr>
            <w:tcW w:w="2268" w:type="dxa"/>
            <w:vMerge/>
            <w:shd w:val="clear" w:color="auto" w:fill="FABF8F" w:themeFill="accent6" w:themeFillTint="99"/>
          </w:tcPr>
          <w:p w14:paraId="37838BB2" w14:textId="77777777" w:rsidR="00CC27BB" w:rsidRDefault="00CC27BB" w:rsidP="002800A0">
            <w:pPr>
              <w:rPr>
                <w:i/>
                <w:iCs/>
              </w:rPr>
            </w:pPr>
          </w:p>
        </w:tc>
        <w:tc>
          <w:tcPr>
            <w:tcW w:w="5924"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926A0B" w14:paraId="6B628DC7" w14:textId="77777777" w:rsidTr="00433122">
        <w:trPr>
          <w:trHeight w:val="709"/>
        </w:trPr>
        <w:tc>
          <w:tcPr>
            <w:tcW w:w="3256" w:type="dxa"/>
          </w:tcPr>
          <w:p w14:paraId="1B6DE719" w14:textId="2B61FF24" w:rsidR="00926A0B" w:rsidRPr="005E10D3" w:rsidRDefault="00926A0B" w:rsidP="00926A0B">
            <w:r w:rsidRPr="00663EBE">
              <w:t xml:space="preserve">Potassium persulphate: </w:t>
            </w:r>
            <w:r>
              <w:t>is</w:t>
            </w:r>
            <w:r w:rsidR="005312F3">
              <w:t xml:space="preserve"> and oxidiser and is </w:t>
            </w:r>
            <w:r w:rsidRPr="00663EBE">
              <w:t>Harmful</w:t>
            </w:r>
            <w:r w:rsidR="005312F3">
              <w:t xml:space="preserve"> if swallowed, a skin/eye/respiratory </w:t>
            </w:r>
            <w:r w:rsidR="005B6EB1">
              <w:t>irritant and a skin/respiratory sensitiser</w:t>
            </w:r>
          </w:p>
        </w:tc>
        <w:tc>
          <w:tcPr>
            <w:tcW w:w="2268" w:type="dxa"/>
          </w:tcPr>
          <w:p w14:paraId="71D8225B" w14:textId="77777777" w:rsidR="00926A0B" w:rsidRDefault="00926A0B" w:rsidP="00926A0B">
            <w:r>
              <w:t>Teacher/technician making up the solutions.</w:t>
            </w:r>
          </w:p>
          <w:p w14:paraId="685597AD" w14:textId="495ABA1C" w:rsidR="00926A0B" w:rsidRPr="00EC550B" w:rsidRDefault="00926A0B" w:rsidP="00926A0B"/>
        </w:tc>
        <w:tc>
          <w:tcPr>
            <w:tcW w:w="5924" w:type="dxa"/>
          </w:tcPr>
          <w:p w14:paraId="29E12E3B" w14:textId="4CA2946E" w:rsidR="00926A0B" w:rsidRDefault="00926A0B" w:rsidP="00926A0B">
            <w:r w:rsidRPr="00663EBE">
              <w:t>Wear</w:t>
            </w:r>
            <w:r w:rsidR="003D4C7E">
              <w:t xml:space="preserve"> </w:t>
            </w:r>
            <w:r w:rsidR="00816056">
              <w:t>eye protection and consider wearing gloves</w:t>
            </w:r>
            <w:r w:rsidRPr="00663EBE">
              <w:t xml:space="preserve"> when making solutions. Avoid raising dust when weighing.</w:t>
            </w:r>
          </w:p>
          <w:p w14:paraId="3EB754FE" w14:textId="77777777" w:rsidR="00926A0B" w:rsidRDefault="00926A0B" w:rsidP="00926A0B"/>
          <w:p w14:paraId="34A8D323" w14:textId="40DE7C25" w:rsidR="00926A0B" w:rsidRPr="00334C42" w:rsidRDefault="00926A0B" w:rsidP="00926A0B"/>
        </w:tc>
        <w:tc>
          <w:tcPr>
            <w:tcW w:w="1134" w:type="dxa"/>
          </w:tcPr>
          <w:p w14:paraId="4BB8AF72" w14:textId="77777777" w:rsidR="00926A0B" w:rsidRDefault="00926A0B" w:rsidP="00926A0B"/>
        </w:tc>
        <w:tc>
          <w:tcPr>
            <w:tcW w:w="993" w:type="dxa"/>
          </w:tcPr>
          <w:p w14:paraId="072F7811" w14:textId="77777777" w:rsidR="00926A0B" w:rsidRDefault="00926A0B" w:rsidP="00926A0B"/>
        </w:tc>
        <w:tc>
          <w:tcPr>
            <w:tcW w:w="708" w:type="dxa"/>
          </w:tcPr>
          <w:p w14:paraId="431DDAE0" w14:textId="77777777" w:rsidR="00926A0B" w:rsidRDefault="00926A0B" w:rsidP="00926A0B"/>
        </w:tc>
      </w:tr>
      <w:tr w:rsidR="0037230F" w14:paraId="055CB881" w14:textId="77777777" w:rsidTr="00433122">
        <w:trPr>
          <w:trHeight w:val="709"/>
        </w:trPr>
        <w:tc>
          <w:tcPr>
            <w:tcW w:w="3256" w:type="dxa"/>
          </w:tcPr>
          <w:p w14:paraId="4610E521" w14:textId="7A3254E8" w:rsidR="0037230F" w:rsidRPr="00663EBE" w:rsidRDefault="0037230F" w:rsidP="00926A0B">
            <w:r>
              <w:t xml:space="preserve">Potassium persulphate solution is a </w:t>
            </w:r>
            <w:r w:rsidR="004343A2">
              <w:t>skin/respiratory sensitiser.</w:t>
            </w:r>
          </w:p>
        </w:tc>
        <w:tc>
          <w:tcPr>
            <w:tcW w:w="2268" w:type="dxa"/>
          </w:tcPr>
          <w:p w14:paraId="1132F7F6" w14:textId="207C0BC6" w:rsidR="0037230F" w:rsidRDefault="00A15BEA" w:rsidP="00926A0B">
            <w:r>
              <w:t>Teacher/pupils carrying out experiment.</w:t>
            </w:r>
          </w:p>
        </w:tc>
        <w:tc>
          <w:tcPr>
            <w:tcW w:w="5924" w:type="dxa"/>
          </w:tcPr>
          <w:p w14:paraId="6B5F4B17" w14:textId="2FC68AC4" w:rsidR="0037230F" w:rsidRPr="00663EBE" w:rsidRDefault="00A15BEA" w:rsidP="00926A0B">
            <w:r>
              <w:t>Avoid skin contact (consider wearing gloves) and avoid creating aerosols – this will not happen during normal use.</w:t>
            </w:r>
          </w:p>
        </w:tc>
        <w:tc>
          <w:tcPr>
            <w:tcW w:w="1134" w:type="dxa"/>
          </w:tcPr>
          <w:p w14:paraId="41D0B06F" w14:textId="77777777" w:rsidR="0037230F" w:rsidRDefault="0037230F" w:rsidP="00926A0B"/>
        </w:tc>
        <w:tc>
          <w:tcPr>
            <w:tcW w:w="993" w:type="dxa"/>
          </w:tcPr>
          <w:p w14:paraId="7E0D6E8F" w14:textId="77777777" w:rsidR="0037230F" w:rsidRDefault="0037230F" w:rsidP="00926A0B"/>
        </w:tc>
        <w:tc>
          <w:tcPr>
            <w:tcW w:w="708" w:type="dxa"/>
          </w:tcPr>
          <w:p w14:paraId="645754CA" w14:textId="77777777" w:rsidR="0037230F" w:rsidRDefault="0037230F" w:rsidP="00926A0B"/>
        </w:tc>
      </w:tr>
      <w:tr w:rsidR="006C032D" w14:paraId="7B43B060" w14:textId="77777777" w:rsidTr="00433122">
        <w:trPr>
          <w:trHeight w:val="709"/>
        </w:trPr>
        <w:tc>
          <w:tcPr>
            <w:tcW w:w="3256" w:type="dxa"/>
          </w:tcPr>
          <w:p w14:paraId="7C4AC2D2" w14:textId="4AEB0A9A" w:rsidR="006C032D" w:rsidRDefault="00926A0B" w:rsidP="006C032D">
            <w:r w:rsidRPr="00663EBE">
              <w:t xml:space="preserve">Inhalation of </w:t>
            </w:r>
            <w:r>
              <w:t>p</w:t>
            </w:r>
            <w:r w:rsidRPr="00663EBE">
              <w:t>otassium iodide  dust may irritate respiratory tract. May act as a skin or eye irritant.</w:t>
            </w:r>
          </w:p>
        </w:tc>
        <w:tc>
          <w:tcPr>
            <w:tcW w:w="2268" w:type="dxa"/>
          </w:tcPr>
          <w:p w14:paraId="5B20EAFF" w14:textId="38A29AF1" w:rsidR="006C032D" w:rsidRDefault="00926A0B" w:rsidP="006C032D">
            <w:r>
              <w:t>Teacher/technician making up the solutions.</w:t>
            </w:r>
          </w:p>
        </w:tc>
        <w:tc>
          <w:tcPr>
            <w:tcW w:w="5924" w:type="dxa"/>
          </w:tcPr>
          <w:p w14:paraId="3ABCE442" w14:textId="127E28F3" w:rsidR="00926A0B" w:rsidRDefault="00926A0B" w:rsidP="00926A0B">
            <w:r w:rsidRPr="00663EBE">
              <w:t>Wear goggles</w:t>
            </w:r>
            <w:r>
              <w:t xml:space="preserve"> (BS EN166 3)</w:t>
            </w:r>
            <w:r w:rsidRPr="00663EBE">
              <w:t xml:space="preserve"> when making solutions. Avoid raising dust</w:t>
            </w:r>
            <w:r w:rsidR="00816056">
              <w:t>.</w:t>
            </w:r>
          </w:p>
          <w:p w14:paraId="18E42A75" w14:textId="6F599297" w:rsidR="006C032D" w:rsidRDefault="006C032D" w:rsidP="006C032D">
            <w:pPr>
              <w:pStyle w:val="BodyText2"/>
              <w:spacing w:after="0" w:line="240" w:lineRule="auto"/>
            </w:pPr>
          </w:p>
        </w:tc>
        <w:tc>
          <w:tcPr>
            <w:tcW w:w="1134" w:type="dxa"/>
          </w:tcPr>
          <w:p w14:paraId="043D7A9D" w14:textId="77777777" w:rsidR="006C032D" w:rsidRDefault="006C032D" w:rsidP="006C032D"/>
        </w:tc>
        <w:tc>
          <w:tcPr>
            <w:tcW w:w="993" w:type="dxa"/>
          </w:tcPr>
          <w:p w14:paraId="45957DAD" w14:textId="77777777" w:rsidR="006C032D" w:rsidRDefault="006C032D" w:rsidP="006C032D"/>
        </w:tc>
        <w:tc>
          <w:tcPr>
            <w:tcW w:w="708" w:type="dxa"/>
          </w:tcPr>
          <w:p w14:paraId="130328DF" w14:textId="77777777" w:rsidR="006C032D" w:rsidRDefault="006C032D" w:rsidP="006C032D"/>
        </w:tc>
      </w:tr>
      <w:tr w:rsidR="00425BD2" w14:paraId="73745F49" w14:textId="77777777" w:rsidTr="00DE61DD">
        <w:trPr>
          <w:trHeight w:val="1350"/>
        </w:trPr>
        <w:tc>
          <w:tcPr>
            <w:tcW w:w="3256" w:type="dxa"/>
          </w:tcPr>
          <w:p w14:paraId="7EB18F31" w14:textId="5703823C" w:rsidR="00425BD2" w:rsidRPr="003D716C" w:rsidRDefault="00425BD2" w:rsidP="00425BD2"/>
        </w:tc>
        <w:tc>
          <w:tcPr>
            <w:tcW w:w="2268" w:type="dxa"/>
          </w:tcPr>
          <w:p w14:paraId="7CCF58C9" w14:textId="4D83AD59" w:rsidR="00425BD2" w:rsidRDefault="00425BD2" w:rsidP="00425BD2"/>
        </w:tc>
        <w:tc>
          <w:tcPr>
            <w:tcW w:w="5924" w:type="dxa"/>
          </w:tcPr>
          <w:p w14:paraId="398E1F51" w14:textId="23B40DD7" w:rsidR="00425BD2" w:rsidRPr="003D716C" w:rsidRDefault="00425BD2" w:rsidP="00425BD2"/>
        </w:tc>
        <w:tc>
          <w:tcPr>
            <w:tcW w:w="1134" w:type="dxa"/>
          </w:tcPr>
          <w:p w14:paraId="1C54297D" w14:textId="77777777" w:rsidR="00425BD2" w:rsidRDefault="00425BD2" w:rsidP="00425BD2"/>
        </w:tc>
        <w:tc>
          <w:tcPr>
            <w:tcW w:w="993" w:type="dxa"/>
          </w:tcPr>
          <w:p w14:paraId="63C869B0" w14:textId="77777777" w:rsidR="00425BD2" w:rsidRDefault="00425BD2" w:rsidP="00425BD2"/>
        </w:tc>
        <w:tc>
          <w:tcPr>
            <w:tcW w:w="708" w:type="dxa"/>
          </w:tcPr>
          <w:p w14:paraId="1A8B7781" w14:textId="77777777" w:rsidR="00425BD2" w:rsidRDefault="00425BD2" w:rsidP="00425BD2"/>
        </w:tc>
      </w:tr>
    </w:tbl>
    <w:p w14:paraId="6AD27AD9" w14:textId="77777777" w:rsidR="00CC27BB" w:rsidRDefault="00CC27BB" w:rsidP="00CC27BB">
      <w:pPr>
        <w:rPr>
          <w:sz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433122">
        <w:trPr>
          <w:trHeight w:val="2091"/>
        </w:trPr>
        <w:tc>
          <w:tcPr>
            <w:tcW w:w="14026" w:type="dxa"/>
          </w:tcPr>
          <w:p w14:paraId="27BFD05E" w14:textId="77777777" w:rsidR="00CC27BB" w:rsidRDefault="00CC27BB" w:rsidP="002800A0">
            <w:pPr>
              <w:rPr>
                <w:b/>
                <w:bCs/>
                <w:sz w:val="28"/>
              </w:rPr>
            </w:pPr>
            <w:r>
              <w:rPr>
                <w:b/>
                <w:bCs/>
                <w:sz w:val="28"/>
              </w:rPr>
              <w:lastRenderedPageBreak/>
              <w:t>Description of activity:</w:t>
            </w:r>
          </w:p>
          <w:p w14:paraId="04A9719B" w14:textId="77777777" w:rsidR="00CC27BB" w:rsidRDefault="00CC27BB" w:rsidP="002800A0"/>
          <w:p w14:paraId="5AE84359" w14:textId="77777777" w:rsidR="002F3086" w:rsidRDefault="002F3086" w:rsidP="002F3086">
            <w:r>
              <w:t xml:space="preserve">This is a variation of “The Iodine Clock” experiment  </w:t>
            </w:r>
          </w:p>
          <w:p w14:paraId="1B6C9543" w14:textId="77777777" w:rsidR="002F3086" w:rsidRDefault="002F3086" w:rsidP="002F3086">
            <w:r>
              <w:t xml:space="preserve">One solution contains potassium iodide and sodium thiosulphate.  The other solution contains potassium persulphate and starch.  </w:t>
            </w:r>
          </w:p>
          <w:p w14:paraId="5EB5F045" w14:textId="2FA6DC58" w:rsidR="00CC27BB" w:rsidRPr="00433122" w:rsidRDefault="002F3086" w:rsidP="002F3086">
            <w:pPr>
              <w:ind w:firstLine="21"/>
              <w:rPr>
                <w:sz w:val="22"/>
                <w:szCs w:val="22"/>
              </w:rPr>
            </w:pPr>
            <w:r>
              <w:t>Potassium iodide reacts with potassium persulphate to form iodine.  The sodium thiosulphate reacts with the newly formed iodine to turn it back into iodide.  These reactions keep happening until all the sodium thiosulphate has been used up.  With no more sodium thiosulphate, the iodine is free to react with the starch and we then see the solution turn a dark blue.</w:t>
            </w: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433122">
        <w:trPr>
          <w:trHeight w:val="1462"/>
        </w:trPr>
        <w:tc>
          <w:tcPr>
            <w:tcW w:w="14835" w:type="dxa"/>
          </w:tcPr>
          <w:p w14:paraId="01BA7017" w14:textId="77777777" w:rsidR="00CC27BB" w:rsidRDefault="00CC27BB" w:rsidP="002800A0">
            <w:pPr>
              <w:rPr>
                <w:b/>
                <w:bCs/>
                <w:sz w:val="28"/>
              </w:rPr>
            </w:pPr>
            <w:r>
              <w:rPr>
                <w:b/>
                <w:bCs/>
                <w:sz w:val="28"/>
              </w:rPr>
              <w:t>Additional comments:</w:t>
            </w:r>
          </w:p>
          <w:p w14:paraId="011AA55D" w14:textId="61B24601" w:rsidR="004D39A2" w:rsidRDefault="004D39A2" w:rsidP="00E47935">
            <w:pPr>
              <w:rPr>
                <w:sz w:val="22"/>
                <w:szCs w:val="22"/>
              </w:rPr>
            </w:pPr>
          </w:p>
          <w:p w14:paraId="7857424D" w14:textId="4B2987DF" w:rsidR="00CC27BB" w:rsidRDefault="00CC27BB" w:rsidP="00253512"/>
        </w:tc>
      </w:tr>
    </w:tbl>
    <w:p w14:paraId="412B5F15" w14:textId="77777777" w:rsidR="00185440" w:rsidRDefault="0062008E"/>
    <w:sectPr w:rsidR="00185440" w:rsidSect="0081789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775C" w14:textId="77777777" w:rsidR="0062008E" w:rsidRDefault="0062008E">
      <w:r>
        <w:separator/>
      </w:r>
    </w:p>
  </w:endnote>
  <w:endnote w:type="continuationSeparator" w:id="0">
    <w:p w14:paraId="7A505671" w14:textId="77777777" w:rsidR="0062008E" w:rsidRDefault="0062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620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62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CD4E6" w14:textId="77777777" w:rsidR="0062008E" w:rsidRDefault="0062008E">
      <w:r>
        <w:separator/>
      </w:r>
    </w:p>
  </w:footnote>
  <w:footnote w:type="continuationSeparator" w:id="0">
    <w:p w14:paraId="3CC17C39" w14:textId="77777777" w:rsidR="0062008E" w:rsidRDefault="0062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620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62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620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6714B"/>
    <w:multiLevelType w:val="hybridMultilevel"/>
    <w:tmpl w:val="A04AC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66A3"/>
    <w:rsid w:val="000071DC"/>
    <w:rsid w:val="000147A5"/>
    <w:rsid w:val="00023F5A"/>
    <w:rsid w:val="000411AA"/>
    <w:rsid w:val="00062360"/>
    <w:rsid w:val="00073352"/>
    <w:rsid w:val="00075F36"/>
    <w:rsid w:val="00077AC3"/>
    <w:rsid w:val="000A0CAD"/>
    <w:rsid w:val="000C20CB"/>
    <w:rsid w:val="000E7345"/>
    <w:rsid w:val="000F43F6"/>
    <w:rsid w:val="00107A90"/>
    <w:rsid w:val="00112662"/>
    <w:rsid w:val="00125C63"/>
    <w:rsid w:val="00137C36"/>
    <w:rsid w:val="00156F80"/>
    <w:rsid w:val="00176B56"/>
    <w:rsid w:val="001800B9"/>
    <w:rsid w:val="001A4C37"/>
    <w:rsid w:val="001C5493"/>
    <w:rsid w:val="001D1C70"/>
    <w:rsid w:val="001D5AF0"/>
    <w:rsid w:val="001E2A1B"/>
    <w:rsid w:val="001F5077"/>
    <w:rsid w:val="00210072"/>
    <w:rsid w:val="00250762"/>
    <w:rsid w:val="00253512"/>
    <w:rsid w:val="00276A2D"/>
    <w:rsid w:val="00286852"/>
    <w:rsid w:val="002A3876"/>
    <w:rsid w:val="002B13CC"/>
    <w:rsid w:val="002B7A3D"/>
    <w:rsid w:val="002B7C9A"/>
    <w:rsid w:val="002C24AE"/>
    <w:rsid w:val="002C61C8"/>
    <w:rsid w:val="002D42E4"/>
    <w:rsid w:val="002E14C2"/>
    <w:rsid w:val="002E234A"/>
    <w:rsid w:val="002F3086"/>
    <w:rsid w:val="00331814"/>
    <w:rsid w:val="00334C42"/>
    <w:rsid w:val="0033525B"/>
    <w:rsid w:val="003359C5"/>
    <w:rsid w:val="00336184"/>
    <w:rsid w:val="00350637"/>
    <w:rsid w:val="00353404"/>
    <w:rsid w:val="0037230F"/>
    <w:rsid w:val="00384A41"/>
    <w:rsid w:val="00385C3E"/>
    <w:rsid w:val="00393160"/>
    <w:rsid w:val="00393E7C"/>
    <w:rsid w:val="003A78B4"/>
    <w:rsid w:val="003B63DF"/>
    <w:rsid w:val="003D2361"/>
    <w:rsid w:val="003D2DD0"/>
    <w:rsid w:val="003D4C7E"/>
    <w:rsid w:val="003E431B"/>
    <w:rsid w:val="003F3EA1"/>
    <w:rsid w:val="004017D9"/>
    <w:rsid w:val="00407157"/>
    <w:rsid w:val="00423CD9"/>
    <w:rsid w:val="00425BD2"/>
    <w:rsid w:val="00433122"/>
    <w:rsid w:val="004343A2"/>
    <w:rsid w:val="00445219"/>
    <w:rsid w:val="00451329"/>
    <w:rsid w:val="004573DF"/>
    <w:rsid w:val="0045790D"/>
    <w:rsid w:val="00462453"/>
    <w:rsid w:val="00462EFE"/>
    <w:rsid w:val="004655A2"/>
    <w:rsid w:val="004705F6"/>
    <w:rsid w:val="00491CAB"/>
    <w:rsid w:val="004C4DCD"/>
    <w:rsid w:val="004D39A2"/>
    <w:rsid w:val="004E2074"/>
    <w:rsid w:val="004E3F3E"/>
    <w:rsid w:val="004E6BC3"/>
    <w:rsid w:val="004F3B78"/>
    <w:rsid w:val="00503775"/>
    <w:rsid w:val="00521D90"/>
    <w:rsid w:val="00524E81"/>
    <w:rsid w:val="005312F3"/>
    <w:rsid w:val="005314E9"/>
    <w:rsid w:val="005358BA"/>
    <w:rsid w:val="00553CA6"/>
    <w:rsid w:val="00554661"/>
    <w:rsid w:val="0058088E"/>
    <w:rsid w:val="00582BA3"/>
    <w:rsid w:val="005902A9"/>
    <w:rsid w:val="00593361"/>
    <w:rsid w:val="005B29B3"/>
    <w:rsid w:val="005B6EB1"/>
    <w:rsid w:val="005C43C5"/>
    <w:rsid w:val="005C60DB"/>
    <w:rsid w:val="005C6256"/>
    <w:rsid w:val="005C7CCC"/>
    <w:rsid w:val="005E0257"/>
    <w:rsid w:val="005E10D3"/>
    <w:rsid w:val="005F10E0"/>
    <w:rsid w:val="0060493A"/>
    <w:rsid w:val="006053B3"/>
    <w:rsid w:val="0062008E"/>
    <w:rsid w:val="00635049"/>
    <w:rsid w:val="00635AF4"/>
    <w:rsid w:val="00652106"/>
    <w:rsid w:val="006529D9"/>
    <w:rsid w:val="0065328D"/>
    <w:rsid w:val="006864CD"/>
    <w:rsid w:val="006A3422"/>
    <w:rsid w:val="006C032D"/>
    <w:rsid w:val="006C17F9"/>
    <w:rsid w:val="006C370A"/>
    <w:rsid w:val="006D1B16"/>
    <w:rsid w:val="006D2E20"/>
    <w:rsid w:val="006D5D77"/>
    <w:rsid w:val="006E1CDF"/>
    <w:rsid w:val="006E27A3"/>
    <w:rsid w:val="006F57EA"/>
    <w:rsid w:val="006F5EC4"/>
    <w:rsid w:val="0071543A"/>
    <w:rsid w:val="007210D6"/>
    <w:rsid w:val="00721FAE"/>
    <w:rsid w:val="007437A9"/>
    <w:rsid w:val="00746005"/>
    <w:rsid w:val="007474C7"/>
    <w:rsid w:val="00750648"/>
    <w:rsid w:val="00752E9D"/>
    <w:rsid w:val="00763E0A"/>
    <w:rsid w:val="007663E7"/>
    <w:rsid w:val="00767633"/>
    <w:rsid w:val="007754F2"/>
    <w:rsid w:val="0078467D"/>
    <w:rsid w:val="00784F60"/>
    <w:rsid w:val="007A5D4D"/>
    <w:rsid w:val="007B439F"/>
    <w:rsid w:val="007C5619"/>
    <w:rsid w:val="007D1320"/>
    <w:rsid w:val="007D1ABA"/>
    <w:rsid w:val="007F3A43"/>
    <w:rsid w:val="007F5E3B"/>
    <w:rsid w:val="00802A0D"/>
    <w:rsid w:val="00804809"/>
    <w:rsid w:val="0081148D"/>
    <w:rsid w:val="00815B75"/>
    <w:rsid w:val="00816056"/>
    <w:rsid w:val="008378DA"/>
    <w:rsid w:val="008565CE"/>
    <w:rsid w:val="008621CB"/>
    <w:rsid w:val="00877A0B"/>
    <w:rsid w:val="0088174C"/>
    <w:rsid w:val="00891A92"/>
    <w:rsid w:val="0089423E"/>
    <w:rsid w:val="0089525B"/>
    <w:rsid w:val="00896FA3"/>
    <w:rsid w:val="008A0857"/>
    <w:rsid w:val="008A69B0"/>
    <w:rsid w:val="008F0199"/>
    <w:rsid w:val="008F7F3B"/>
    <w:rsid w:val="00903375"/>
    <w:rsid w:val="009071E0"/>
    <w:rsid w:val="009133F1"/>
    <w:rsid w:val="00926A0B"/>
    <w:rsid w:val="00934390"/>
    <w:rsid w:val="009448D5"/>
    <w:rsid w:val="0094799B"/>
    <w:rsid w:val="009601EF"/>
    <w:rsid w:val="00963C11"/>
    <w:rsid w:val="009736C3"/>
    <w:rsid w:val="009738D9"/>
    <w:rsid w:val="00974A2A"/>
    <w:rsid w:val="00976D0E"/>
    <w:rsid w:val="009827B7"/>
    <w:rsid w:val="00982EAE"/>
    <w:rsid w:val="009A086A"/>
    <w:rsid w:val="009A1E87"/>
    <w:rsid w:val="009B4517"/>
    <w:rsid w:val="009C11AE"/>
    <w:rsid w:val="00A12563"/>
    <w:rsid w:val="00A15BEA"/>
    <w:rsid w:val="00A30581"/>
    <w:rsid w:val="00A41976"/>
    <w:rsid w:val="00A467CE"/>
    <w:rsid w:val="00A81B78"/>
    <w:rsid w:val="00AA532D"/>
    <w:rsid w:val="00AC48FF"/>
    <w:rsid w:val="00AD0A0A"/>
    <w:rsid w:val="00AD4B81"/>
    <w:rsid w:val="00AE0267"/>
    <w:rsid w:val="00AE38FC"/>
    <w:rsid w:val="00AE6A04"/>
    <w:rsid w:val="00AF1FE4"/>
    <w:rsid w:val="00AF71DF"/>
    <w:rsid w:val="00B23DCA"/>
    <w:rsid w:val="00B24B10"/>
    <w:rsid w:val="00B302C5"/>
    <w:rsid w:val="00B8315D"/>
    <w:rsid w:val="00BA3643"/>
    <w:rsid w:val="00BD6F23"/>
    <w:rsid w:val="00C03C34"/>
    <w:rsid w:val="00C06F1C"/>
    <w:rsid w:val="00C17AEF"/>
    <w:rsid w:val="00C24BA4"/>
    <w:rsid w:val="00C40B30"/>
    <w:rsid w:val="00C720D6"/>
    <w:rsid w:val="00C811DF"/>
    <w:rsid w:val="00C8648E"/>
    <w:rsid w:val="00C87A5F"/>
    <w:rsid w:val="00C87D20"/>
    <w:rsid w:val="00C942F0"/>
    <w:rsid w:val="00CA5354"/>
    <w:rsid w:val="00CC0570"/>
    <w:rsid w:val="00CC16E3"/>
    <w:rsid w:val="00CC27BB"/>
    <w:rsid w:val="00CE06AF"/>
    <w:rsid w:val="00CE6E0F"/>
    <w:rsid w:val="00D01A31"/>
    <w:rsid w:val="00D0477D"/>
    <w:rsid w:val="00D20938"/>
    <w:rsid w:val="00D24C31"/>
    <w:rsid w:val="00D542C5"/>
    <w:rsid w:val="00D6673B"/>
    <w:rsid w:val="00D97E73"/>
    <w:rsid w:val="00DB2243"/>
    <w:rsid w:val="00DE61DD"/>
    <w:rsid w:val="00DF19A1"/>
    <w:rsid w:val="00DF7BE9"/>
    <w:rsid w:val="00E16922"/>
    <w:rsid w:val="00E33875"/>
    <w:rsid w:val="00E42D4C"/>
    <w:rsid w:val="00E47935"/>
    <w:rsid w:val="00E52BC5"/>
    <w:rsid w:val="00E63069"/>
    <w:rsid w:val="00E77C7D"/>
    <w:rsid w:val="00E82E1C"/>
    <w:rsid w:val="00E93AA0"/>
    <w:rsid w:val="00EA4487"/>
    <w:rsid w:val="00EB3274"/>
    <w:rsid w:val="00EB3A1F"/>
    <w:rsid w:val="00EB7C10"/>
    <w:rsid w:val="00EC550B"/>
    <w:rsid w:val="00ED1F6D"/>
    <w:rsid w:val="00ED3F4F"/>
    <w:rsid w:val="00EE129B"/>
    <w:rsid w:val="00EE25DC"/>
    <w:rsid w:val="00EF2D12"/>
    <w:rsid w:val="00EF7D57"/>
    <w:rsid w:val="00F0769C"/>
    <w:rsid w:val="00F22EA6"/>
    <w:rsid w:val="00F312BF"/>
    <w:rsid w:val="00F31A31"/>
    <w:rsid w:val="00F32342"/>
    <w:rsid w:val="00F35525"/>
    <w:rsid w:val="00F35942"/>
    <w:rsid w:val="00F44B26"/>
    <w:rsid w:val="00F45021"/>
    <w:rsid w:val="00F4542A"/>
    <w:rsid w:val="00F64D93"/>
    <w:rsid w:val="00F73DD6"/>
    <w:rsid w:val="00F95BB0"/>
    <w:rsid w:val="00FA3CD5"/>
    <w:rsid w:val="00FA44E8"/>
    <w:rsid w:val="00FA593C"/>
    <w:rsid w:val="00FD1DAC"/>
    <w:rsid w:val="00FE0B75"/>
    <w:rsid w:val="00FE2123"/>
    <w:rsid w:val="00FF370B"/>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 w:type="paragraph" w:styleId="NormalWeb">
    <w:name w:val="Normal (Web)"/>
    <w:basedOn w:val="Normal"/>
    <w:uiPriority w:val="99"/>
    <w:unhideWhenUsed/>
    <w:rsid w:val="00D01A31"/>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573DF"/>
    <w:rPr>
      <w:b/>
      <w:bCs/>
    </w:rPr>
  </w:style>
  <w:style w:type="paragraph" w:styleId="BodyText2">
    <w:name w:val="Body Text 2"/>
    <w:basedOn w:val="Normal"/>
    <w:link w:val="BodyText2Char"/>
    <w:uiPriority w:val="99"/>
    <w:unhideWhenUsed/>
    <w:rsid w:val="00503775"/>
    <w:pPr>
      <w:spacing w:after="120" w:line="480" w:lineRule="auto"/>
    </w:pPr>
  </w:style>
  <w:style w:type="character" w:customStyle="1" w:styleId="BodyText2Char">
    <w:name w:val="Body Text 2 Char"/>
    <w:basedOn w:val="DefaultParagraphFont"/>
    <w:link w:val="BodyText2"/>
    <w:uiPriority w:val="99"/>
    <w:rsid w:val="0050377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354">
      <w:bodyDiv w:val="1"/>
      <w:marLeft w:val="0"/>
      <w:marRight w:val="0"/>
      <w:marTop w:val="0"/>
      <w:marBottom w:val="0"/>
      <w:divBdr>
        <w:top w:val="none" w:sz="0" w:space="0" w:color="auto"/>
        <w:left w:val="none" w:sz="0" w:space="0" w:color="auto"/>
        <w:bottom w:val="none" w:sz="0" w:space="0" w:color="auto"/>
        <w:right w:val="none" w:sz="0" w:space="0" w:color="auto"/>
      </w:divBdr>
    </w:div>
    <w:div w:id="86922717">
      <w:bodyDiv w:val="1"/>
      <w:marLeft w:val="0"/>
      <w:marRight w:val="0"/>
      <w:marTop w:val="0"/>
      <w:marBottom w:val="0"/>
      <w:divBdr>
        <w:top w:val="none" w:sz="0" w:space="0" w:color="auto"/>
        <w:left w:val="none" w:sz="0" w:space="0" w:color="auto"/>
        <w:bottom w:val="none" w:sz="0" w:space="0" w:color="auto"/>
        <w:right w:val="none" w:sz="0" w:space="0" w:color="auto"/>
      </w:divBdr>
    </w:div>
    <w:div w:id="124739618">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601038509">
      <w:bodyDiv w:val="1"/>
      <w:marLeft w:val="0"/>
      <w:marRight w:val="0"/>
      <w:marTop w:val="0"/>
      <w:marBottom w:val="0"/>
      <w:divBdr>
        <w:top w:val="none" w:sz="0" w:space="0" w:color="auto"/>
        <w:left w:val="none" w:sz="0" w:space="0" w:color="auto"/>
        <w:bottom w:val="none" w:sz="0" w:space="0" w:color="auto"/>
        <w:right w:val="none" w:sz="0" w:space="0" w:color="auto"/>
      </w:divBdr>
    </w:div>
    <w:div w:id="606694261">
      <w:bodyDiv w:val="1"/>
      <w:marLeft w:val="0"/>
      <w:marRight w:val="0"/>
      <w:marTop w:val="0"/>
      <w:marBottom w:val="0"/>
      <w:divBdr>
        <w:top w:val="none" w:sz="0" w:space="0" w:color="auto"/>
        <w:left w:val="none" w:sz="0" w:space="0" w:color="auto"/>
        <w:bottom w:val="none" w:sz="0" w:space="0" w:color="auto"/>
        <w:right w:val="none" w:sz="0" w:space="0" w:color="auto"/>
      </w:divBdr>
    </w:div>
    <w:div w:id="643200721">
      <w:bodyDiv w:val="1"/>
      <w:marLeft w:val="0"/>
      <w:marRight w:val="0"/>
      <w:marTop w:val="0"/>
      <w:marBottom w:val="0"/>
      <w:divBdr>
        <w:top w:val="none" w:sz="0" w:space="0" w:color="auto"/>
        <w:left w:val="none" w:sz="0" w:space="0" w:color="auto"/>
        <w:bottom w:val="none" w:sz="0" w:space="0" w:color="auto"/>
        <w:right w:val="none" w:sz="0" w:space="0" w:color="auto"/>
      </w:divBdr>
    </w:div>
    <w:div w:id="870260212">
      <w:bodyDiv w:val="1"/>
      <w:marLeft w:val="0"/>
      <w:marRight w:val="0"/>
      <w:marTop w:val="0"/>
      <w:marBottom w:val="0"/>
      <w:divBdr>
        <w:top w:val="none" w:sz="0" w:space="0" w:color="auto"/>
        <w:left w:val="none" w:sz="0" w:space="0" w:color="auto"/>
        <w:bottom w:val="none" w:sz="0" w:space="0" w:color="auto"/>
        <w:right w:val="none" w:sz="0" w:space="0" w:color="auto"/>
      </w:divBdr>
    </w:div>
    <w:div w:id="886717197">
      <w:bodyDiv w:val="1"/>
      <w:marLeft w:val="0"/>
      <w:marRight w:val="0"/>
      <w:marTop w:val="0"/>
      <w:marBottom w:val="0"/>
      <w:divBdr>
        <w:top w:val="none" w:sz="0" w:space="0" w:color="auto"/>
        <w:left w:val="none" w:sz="0" w:space="0" w:color="auto"/>
        <w:bottom w:val="none" w:sz="0" w:space="0" w:color="auto"/>
        <w:right w:val="none" w:sz="0" w:space="0" w:color="auto"/>
      </w:divBdr>
    </w:div>
    <w:div w:id="1057585637">
      <w:bodyDiv w:val="1"/>
      <w:marLeft w:val="0"/>
      <w:marRight w:val="0"/>
      <w:marTop w:val="0"/>
      <w:marBottom w:val="0"/>
      <w:divBdr>
        <w:top w:val="none" w:sz="0" w:space="0" w:color="auto"/>
        <w:left w:val="none" w:sz="0" w:space="0" w:color="auto"/>
        <w:bottom w:val="none" w:sz="0" w:space="0" w:color="auto"/>
        <w:right w:val="none" w:sz="0" w:space="0" w:color="auto"/>
      </w:divBdr>
    </w:div>
    <w:div w:id="1098671933">
      <w:bodyDiv w:val="1"/>
      <w:marLeft w:val="0"/>
      <w:marRight w:val="0"/>
      <w:marTop w:val="0"/>
      <w:marBottom w:val="0"/>
      <w:divBdr>
        <w:top w:val="none" w:sz="0" w:space="0" w:color="auto"/>
        <w:left w:val="none" w:sz="0" w:space="0" w:color="auto"/>
        <w:bottom w:val="none" w:sz="0" w:space="0" w:color="auto"/>
        <w:right w:val="none" w:sz="0" w:space="0" w:color="auto"/>
      </w:divBdr>
    </w:div>
    <w:div w:id="1099253307">
      <w:bodyDiv w:val="1"/>
      <w:marLeft w:val="0"/>
      <w:marRight w:val="0"/>
      <w:marTop w:val="0"/>
      <w:marBottom w:val="0"/>
      <w:divBdr>
        <w:top w:val="none" w:sz="0" w:space="0" w:color="auto"/>
        <w:left w:val="none" w:sz="0" w:space="0" w:color="auto"/>
        <w:bottom w:val="none" w:sz="0" w:space="0" w:color="auto"/>
        <w:right w:val="none" w:sz="0" w:space="0" w:color="auto"/>
      </w:divBdr>
    </w:div>
    <w:div w:id="1157266202">
      <w:bodyDiv w:val="1"/>
      <w:marLeft w:val="0"/>
      <w:marRight w:val="0"/>
      <w:marTop w:val="0"/>
      <w:marBottom w:val="0"/>
      <w:divBdr>
        <w:top w:val="none" w:sz="0" w:space="0" w:color="auto"/>
        <w:left w:val="none" w:sz="0" w:space="0" w:color="auto"/>
        <w:bottom w:val="none" w:sz="0" w:space="0" w:color="auto"/>
        <w:right w:val="none" w:sz="0" w:space="0" w:color="auto"/>
      </w:divBdr>
    </w:div>
    <w:div w:id="1333754437">
      <w:bodyDiv w:val="1"/>
      <w:marLeft w:val="0"/>
      <w:marRight w:val="0"/>
      <w:marTop w:val="0"/>
      <w:marBottom w:val="0"/>
      <w:divBdr>
        <w:top w:val="none" w:sz="0" w:space="0" w:color="auto"/>
        <w:left w:val="none" w:sz="0" w:space="0" w:color="auto"/>
        <w:bottom w:val="none" w:sz="0" w:space="0" w:color="auto"/>
        <w:right w:val="none" w:sz="0" w:space="0" w:color="auto"/>
      </w:divBdr>
    </w:div>
    <w:div w:id="1810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sserc.org.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250</cp:revision>
  <dcterms:created xsi:type="dcterms:W3CDTF">2019-11-27T13:54:00Z</dcterms:created>
  <dcterms:modified xsi:type="dcterms:W3CDTF">2019-11-28T15:59:00Z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