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A4C37" w14:paraId="0ABED3D4" w14:textId="77777777" w:rsidTr="002800A0">
        <w:tc>
          <w:tcPr>
            <w:tcW w:w="3085" w:type="dxa"/>
          </w:tcPr>
          <w:p w14:paraId="415F7095" w14:textId="77777777" w:rsidR="001A4C37" w:rsidRDefault="001A4C37" w:rsidP="001A4C3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0A11C970" w:rsidR="001A4C37" w:rsidRDefault="006864CD" w:rsidP="001A4C37">
            <w:proofErr w:type="spellStart"/>
            <w:r>
              <w:t>Belousov-Zhabotinskii</w:t>
            </w:r>
            <w:proofErr w:type="spellEnd"/>
            <w:r>
              <w:t xml:space="preserve"> reaction</w:t>
            </w:r>
          </w:p>
        </w:tc>
      </w:tr>
      <w:tr w:rsidR="001A4C37" w14:paraId="0A748382" w14:textId="77777777" w:rsidTr="002800A0">
        <w:tc>
          <w:tcPr>
            <w:tcW w:w="3085" w:type="dxa"/>
          </w:tcPr>
          <w:p w14:paraId="55D11C45" w14:textId="77777777" w:rsidR="001A4C37" w:rsidRDefault="001A4C37" w:rsidP="001A4C3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9B8AB4D" w:rsidR="001A4C37" w:rsidRDefault="001A4C37" w:rsidP="001A4C37">
            <w:r>
              <w:t>October 201</w:t>
            </w:r>
            <w:r w:rsidR="006864CD">
              <w:t>6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E7345" w14:paraId="6B628DC7" w14:textId="77777777" w:rsidTr="00433122">
        <w:trPr>
          <w:trHeight w:val="709"/>
        </w:trPr>
        <w:tc>
          <w:tcPr>
            <w:tcW w:w="3256" w:type="dxa"/>
          </w:tcPr>
          <w:p w14:paraId="1B6DE719" w14:textId="76E71DC6" w:rsidR="000E7345" w:rsidRPr="002C24AE" w:rsidRDefault="000E7345" w:rsidP="000E7345">
            <w:r w:rsidRPr="00D56FD6">
              <w:t>Potassium bromate is (and sodium bromated probably is) a carcinogen as well as being toxic if ingested and oxidizing.</w:t>
            </w:r>
          </w:p>
        </w:tc>
        <w:tc>
          <w:tcPr>
            <w:tcW w:w="2268" w:type="dxa"/>
          </w:tcPr>
          <w:p w14:paraId="685597AD" w14:textId="036C086F" w:rsidR="000E7345" w:rsidRPr="00EC550B" w:rsidRDefault="000E7345" w:rsidP="000E7345">
            <w:r w:rsidRPr="00B200F4">
              <w:t>Teacher/technician preparing solutions by inhalation or splashes.</w:t>
            </w:r>
          </w:p>
        </w:tc>
        <w:tc>
          <w:tcPr>
            <w:tcW w:w="5924" w:type="dxa"/>
          </w:tcPr>
          <w:p w14:paraId="34A8D323" w14:textId="05ABC50B" w:rsidR="000E7345" w:rsidRPr="0065328D" w:rsidRDefault="006F57EA" w:rsidP="000E7345">
            <w:r>
              <w:t>Wear goggles (BS EN166 3) and gloves. Avoid raising dust. Keep away from combustible materials</w:t>
            </w:r>
          </w:p>
        </w:tc>
        <w:tc>
          <w:tcPr>
            <w:tcW w:w="1134" w:type="dxa"/>
          </w:tcPr>
          <w:p w14:paraId="4BB8AF72" w14:textId="77777777" w:rsidR="000E7345" w:rsidRDefault="000E7345" w:rsidP="000E7345"/>
        </w:tc>
        <w:tc>
          <w:tcPr>
            <w:tcW w:w="993" w:type="dxa"/>
          </w:tcPr>
          <w:p w14:paraId="072F7811" w14:textId="77777777" w:rsidR="000E7345" w:rsidRDefault="000E7345" w:rsidP="000E7345"/>
        </w:tc>
        <w:tc>
          <w:tcPr>
            <w:tcW w:w="708" w:type="dxa"/>
          </w:tcPr>
          <w:p w14:paraId="431DDAE0" w14:textId="77777777" w:rsidR="000E7345" w:rsidRDefault="000E7345" w:rsidP="000E7345"/>
        </w:tc>
      </w:tr>
      <w:tr w:rsidR="000E7345" w14:paraId="73745F49" w14:textId="77777777" w:rsidTr="00433122">
        <w:trPr>
          <w:trHeight w:val="709"/>
        </w:trPr>
        <w:tc>
          <w:tcPr>
            <w:tcW w:w="3256" w:type="dxa"/>
          </w:tcPr>
          <w:p w14:paraId="7EB18F31" w14:textId="2CD2F41A" w:rsidR="000E7345" w:rsidRPr="003D716C" w:rsidRDefault="000E7345" w:rsidP="000E7345">
            <w:r w:rsidRPr="00D56FD6">
              <w:t>Malonic acid and iron II sulphate are harmful and an irritant</w:t>
            </w:r>
          </w:p>
        </w:tc>
        <w:tc>
          <w:tcPr>
            <w:tcW w:w="2268" w:type="dxa"/>
          </w:tcPr>
          <w:p w14:paraId="7CCF58C9" w14:textId="71B16824" w:rsidR="000E7345" w:rsidRDefault="00336184" w:rsidP="000E7345">
            <w:r>
              <w:t>Teacher/technician preparing solutions by inhalation or splashes.</w:t>
            </w:r>
          </w:p>
        </w:tc>
        <w:tc>
          <w:tcPr>
            <w:tcW w:w="5924" w:type="dxa"/>
          </w:tcPr>
          <w:p w14:paraId="5C21B04E" w14:textId="77777777" w:rsidR="00521D90" w:rsidRDefault="00521D90" w:rsidP="00521D90">
            <w:r>
              <w:t>Wear eye protection. Avoid raising dust.</w:t>
            </w:r>
          </w:p>
          <w:p w14:paraId="398E1F51" w14:textId="77777777" w:rsidR="000E7345" w:rsidRPr="003D716C" w:rsidRDefault="000E7345" w:rsidP="000E7345"/>
        </w:tc>
        <w:tc>
          <w:tcPr>
            <w:tcW w:w="1134" w:type="dxa"/>
          </w:tcPr>
          <w:p w14:paraId="1C54297D" w14:textId="77777777" w:rsidR="000E7345" w:rsidRDefault="000E7345" w:rsidP="000E7345"/>
        </w:tc>
        <w:tc>
          <w:tcPr>
            <w:tcW w:w="993" w:type="dxa"/>
          </w:tcPr>
          <w:p w14:paraId="63C869B0" w14:textId="77777777" w:rsidR="000E7345" w:rsidRDefault="000E7345" w:rsidP="000E7345"/>
        </w:tc>
        <w:tc>
          <w:tcPr>
            <w:tcW w:w="708" w:type="dxa"/>
          </w:tcPr>
          <w:p w14:paraId="1A8B7781" w14:textId="77777777" w:rsidR="000E7345" w:rsidRDefault="000E7345" w:rsidP="000E7345"/>
        </w:tc>
      </w:tr>
      <w:tr w:rsidR="000E7345" w14:paraId="17D77ECA" w14:textId="77777777" w:rsidTr="00433122">
        <w:trPr>
          <w:trHeight w:val="709"/>
        </w:trPr>
        <w:tc>
          <w:tcPr>
            <w:tcW w:w="3256" w:type="dxa"/>
          </w:tcPr>
          <w:p w14:paraId="400D6CD1" w14:textId="77777777" w:rsidR="000E7345" w:rsidRDefault="000E7345" w:rsidP="000E7345">
            <w:pPr>
              <w:rPr>
                <w:lang w:val="en-GB"/>
              </w:rPr>
            </w:pPr>
            <w:r w:rsidRPr="006A6579">
              <w:rPr>
                <w:lang w:val="en-GB"/>
              </w:rPr>
              <w:t>6M H</w:t>
            </w:r>
            <w:r w:rsidRPr="006A6579">
              <w:rPr>
                <w:vertAlign w:val="subscript"/>
                <w:lang w:val="en-GB"/>
              </w:rPr>
              <w:t>2</w:t>
            </w:r>
            <w:r w:rsidRPr="006A6579">
              <w:rPr>
                <w:lang w:val="en-GB"/>
              </w:rPr>
              <w:t>S0</w:t>
            </w:r>
            <w:r w:rsidRPr="006A6579">
              <w:rPr>
                <w:vertAlign w:val="subscript"/>
                <w:lang w:val="en-GB"/>
              </w:rPr>
              <w:t>4</w:t>
            </w:r>
            <w:r w:rsidRPr="006A6579">
              <w:rPr>
                <w:lang w:val="en-GB"/>
              </w:rPr>
              <w:t xml:space="preserve"> is corrosive</w:t>
            </w:r>
          </w:p>
          <w:p w14:paraId="61E6127C" w14:textId="78434918" w:rsidR="000E7345" w:rsidRDefault="000E7345" w:rsidP="000E7345"/>
        </w:tc>
        <w:tc>
          <w:tcPr>
            <w:tcW w:w="2268" w:type="dxa"/>
          </w:tcPr>
          <w:p w14:paraId="525FFD4E" w14:textId="333CC68F" w:rsidR="000E7345" w:rsidRPr="00934390" w:rsidRDefault="00934390" w:rsidP="000E7345">
            <w:r>
              <w:t>Teacher/technician preparing/using solution by splashes.</w:t>
            </w:r>
          </w:p>
        </w:tc>
        <w:tc>
          <w:tcPr>
            <w:tcW w:w="5924" w:type="dxa"/>
          </w:tcPr>
          <w:p w14:paraId="47858682" w14:textId="1AEC5EA8" w:rsidR="000E7345" w:rsidRDefault="00DB2243" w:rsidP="000E7345">
            <w:r>
              <w:t>Wear goggles (BS EN166 3) or a face shield for diluting concentrated acid and follow appropriate guidance. Wear goggles (BS EN166 3)  when using solution.</w:t>
            </w:r>
          </w:p>
        </w:tc>
        <w:tc>
          <w:tcPr>
            <w:tcW w:w="1134" w:type="dxa"/>
          </w:tcPr>
          <w:p w14:paraId="6885F5A7" w14:textId="77777777" w:rsidR="000E7345" w:rsidRDefault="000E7345" w:rsidP="000E7345"/>
        </w:tc>
        <w:tc>
          <w:tcPr>
            <w:tcW w:w="993" w:type="dxa"/>
          </w:tcPr>
          <w:p w14:paraId="762DEBFE" w14:textId="77777777" w:rsidR="000E7345" w:rsidRDefault="000E7345" w:rsidP="000E7345"/>
        </w:tc>
        <w:tc>
          <w:tcPr>
            <w:tcW w:w="708" w:type="dxa"/>
          </w:tcPr>
          <w:p w14:paraId="5AC377CB" w14:textId="77777777" w:rsidR="000E7345" w:rsidRDefault="000E7345" w:rsidP="000E7345"/>
        </w:tc>
      </w:tr>
      <w:tr w:rsidR="000E7345" w14:paraId="18B9FC01" w14:textId="77777777" w:rsidTr="00433122">
        <w:trPr>
          <w:trHeight w:val="709"/>
        </w:trPr>
        <w:tc>
          <w:tcPr>
            <w:tcW w:w="3256" w:type="dxa"/>
          </w:tcPr>
          <w:p w14:paraId="7A7CFD94" w14:textId="59CBD22B" w:rsidR="000E7345" w:rsidRPr="00210072" w:rsidRDefault="000E7345" w:rsidP="000E7345">
            <w:pPr>
              <w:rPr>
                <w:lang w:val="en-GB"/>
              </w:rPr>
            </w:pPr>
            <w:r>
              <w:rPr>
                <w:lang w:val="en-GB"/>
              </w:rPr>
              <w:t>1,10 phenanthroline is toxic if ingested</w:t>
            </w:r>
          </w:p>
        </w:tc>
        <w:tc>
          <w:tcPr>
            <w:tcW w:w="2268" w:type="dxa"/>
          </w:tcPr>
          <w:p w14:paraId="28190BBB" w14:textId="345B7165" w:rsidR="000E7345" w:rsidRPr="00D20938" w:rsidRDefault="00D20938" w:rsidP="000E7345">
            <w:r>
              <w:t>Teacher/technician preparing solutions by inhalation or splashes.</w:t>
            </w:r>
          </w:p>
        </w:tc>
        <w:tc>
          <w:tcPr>
            <w:tcW w:w="5924" w:type="dxa"/>
          </w:tcPr>
          <w:p w14:paraId="5F1D26AF" w14:textId="77777777" w:rsidR="007D1320" w:rsidRDefault="007D1320" w:rsidP="007D1320">
            <w:r>
              <w:t>Wear goggles (BS EN166 3) and gloves. Avoid raising dust.</w:t>
            </w:r>
          </w:p>
          <w:p w14:paraId="63E3CD3D" w14:textId="377C4168" w:rsidR="000E7345" w:rsidRPr="007B439F" w:rsidRDefault="000E7345" w:rsidP="000E73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581DD" w14:textId="77777777" w:rsidR="000E7345" w:rsidRDefault="000E7345" w:rsidP="000E7345"/>
        </w:tc>
        <w:tc>
          <w:tcPr>
            <w:tcW w:w="993" w:type="dxa"/>
          </w:tcPr>
          <w:p w14:paraId="4693D9EB" w14:textId="77777777" w:rsidR="000E7345" w:rsidRDefault="000E7345" w:rsidP="000E7345"/>
        </w:tc>
        <w:tc>
          <w:tcPr>
            <w:tcW w:w="708" w:type="dxa"/>
          </w:tcPr>
          <w:p w14:paraId="311BF605" w14:textId="77777777" w:rsidR="000E7345" w:rsidRDefault="000E7345" w:rsidP="000E7345"/>
        </w:tc>
      </w:tr>
      <w:tr w:rsidR="00125C63" w14:paraId="0DB9ACDB" w14:textId="77777777" w:rsidTr="00433122">
        <w:trPr>
          <w:trHeight w:val="709"/>
        </w:trPr>
        <w:tc>
          <w:tcPr>
            <w:tcW w:w="3256" w:type="dxa"/>
          </w:tcPr>
          <w:p w14:paraId="1467F6F9" w14:textId="349B8B46" w:rsidR="00896FA3" w:rsidRDefault="00896FA3" w:rsidP="00896FA3">
            <w:pPr>
              <w:rPr>
                <w:lang w:val="en-GB"/>
              </w:rPr>
            </w:pPr>
            <w:r>
              <w:rPr>
                <w:lang w:val="en-GB"/>
              </w:rPr>
              <w:t>Reaction mixture gives off bromine</w:t>
            </w:r>
            <w:r w:rsidR="007F5E3B">
              <w:rPr>
                <w:lang w:val="en-GB"/>
              </w:rPr>
              <w:t xml:space="preserve"> </w:t>
            </w:r>
            <w:r w:rsidR="00FF5A5D">
              <w:rPr>
                <w:lang w:val="en-GB"/>
              </w:rPr>
              <w:t xml:space="preserve">- </w:t>
            </w:r>
            <w:r w:rsidR="007F5E3B">
              <w:rPr>
                <w:lang w:val="en-GB"/>
              </w:rPr>
              <w:t>during preparation</w:t>
            </w:r>
            <w:r w:rsidR="00FF5A5D">
              <w:rPr>
                <w:lang w:val="en-GB"/>
              </w:rPr>
              <w:t xml:space="preserve"> only</w:t>
            </w:r>
            <w:r>
              <w:rPr>
                <w:lang w:val="en-GB"/>
              </w:rPr>
              <w:t>.</w:t>
            </w:r>
          </w:p>
          <w:p w14:paraId="104C1674" w14:textId="20CBCEC9" w:rsidR="00125C63" w:rsidRPr="007B439F" w:rsidRDefault="00125C63" w:rsidP="00125C63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75ECAEB6" w14:textId="77777777" w:rsidR="00C942F0" w:rsidRDefault="00C942F0" w:rsidP="00C942F0">
            <w:r>
              <w:t>Teacher/technician or bystanders preparing solutions by inhalation</w:t>
            </w:r>
          </w:p>
          <w:p w14:paraId="52060B60" w14:textId="629D0D69" w:rsidR="00125C63" w:rsidRPr="007B439F" w:rsidRDefault="00125C63" w:rsidP="00125C63">
            <w:pPr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14:paraId="3DAE0CC6" w14:textId="77777777" w:rsidR="007F5E3B" w:rsidRDefault="007F5E3B" w:rsidP="007F5E3B">
            <w:r>
              <w:t>The amount of bromine released is small. Work in a well-ventilated laboratory or in a fume cupboard.</w:t>
            </w:r>
          </w:p>
          <w:p w14:paraId="4CEF4B4C" w14:textId="48A0F9D4" w:rsidR="00125C63" w:rsidRPr="007B439F" w:rsidRDefault="00125C63" w:rsidP="00125C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89241" w14:textId="77777777" w:rsidR="00125C63" w:rsidRDefault="00125C63" w:rsidP="00125C63"/>
        </w:tc>
        <w:tc>
          <w:tcPr>
            <w:tcW w:w="993" w:type="dxa"/>
          </w:tcPr>
          <w:p w14:paraId="167F93D1" w14:textId="77777777" w:rsidR="00125C63" w:rsidRDefault="00125C63" w:rsidP="00125C63"/>
        </w:tc>
        <w:tc>
          <w:tcPr>
            <w:tcW w:w="708" w:type="dxa"/>
          </w:tcPr>
          <w:p w14:paraId="3756885A" w14:textId="77777777" w:rsidR="00125C63" w:rsidRDefault="00125C63" w:rsidP="00125C63"/>
        </w:tc>
      </w:tr>
      <w:tr w:rsidR="005C60DB" w14:paraId="780F556B" w14:textId="77777777" w:rsidTr="00433122">
        <w:trPr>
          <w:trHeight w:val="709"/>
        </w:trPr>
        <w:tc>
          <w:tcPr>
            <w:tcW w:w="3256" w:type="dxa"/>
          </w:tcPr>
          <w:p w14:paraId="6AF2C368" w14:textId="7F4CEA5F" w:rsidR="005C60DB" w:rsidRDefault="005C60DB" w:rsidP="00896FA3">
            <w:pPr>
              <w:rPr>
                <w:lang w:val="en-GB"/>
              </w:rPr>
            </w:pPr>
            <w:r>
              <w:rPr>
                <w:lang w:val="en-GB"/>
              </w:rPr>
              <w:t>Reaction mixture is corrosive, due to sulphuric acid, and carcinogenic, due to the bromate.</w:t>
            </w:r>
          </w:p>
        </w:tc>
        <w:tc>
          <w:tcPr>
            <w:tcW w:w="2268" w:type="dxa"/>
          </w:tcPr>
          <w:p w14:paraId="573CFC09" w14:textId="77777777" w:rsidR="007F3A43" w:rsidRDefault="007F3A43" w:rsidP="007F3A43">
            <w:r>
              <w:t>Teacher/technician carrying out reaction or clearing away by splashes.</w:t>
            </w:r>
          </w:p>
          <w:p w14:paraId="7E3F5D9F" w14:textId="77777777" w:rsidR="005C60DB" w:rsidRDefault="005C60DB" w:rsidP="00C942F0"/>
        </w:tc>
        <w:tc>
          <w:tcPr>
            <w:tcW w:w="5924" w:type="dxa"/>
          </w:tcPr>
          <w:p w14:paraId="5FF78BE1" w14:textId="27885C93" w:rsidR="005C60DB" w:rsidRDefault="008565CE" w:rsidP="007F5E3B">
            <w:r>
              <w:t>Wear goggles (BS EN 166 3) and gloves.</w:t>
            </w:r>
          </w:p>
        </w:tc>
        <w:tc>
          <w:tcPr>
            <w:tcW w:w="1134" w:type="dxa"/>
          </w:tcPr>
          <w:p w14:paraId="36BE1EF7" w14:textId="77777777" w:rsidR="005C60DB" w:rsidRDefault="005C60DB" w:rsidP="00125C63"/>
        </w:tc>
        <w:tc>
          <w:tcPr>
            <w:tcW w:w="993" w:type="dxa"/>
          </w:tcPr>
          <w:p w14:paraId="36B6B69C" w14:textId="77777777" w:rsidR="005C60DB" w:rsidRDefault="005C60DB" w:rsidP="00125C63"/>
        </w:tc>
        <w:tc>
          <w:tcPr>
            <w:tcW w:w="708" w:type="dxa"/>
          </w:tcPr>
          <w:p w14:paraId="1A884016" w14:textId="77777777" w:rsidR="005C60DB" w:rsidRDefault="005C60DB" w:rsidP="00125C63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04A9719B" w14:textId="77777777" w:rsidR="00CC27BB" w:rsidRDefault="00CC27BB" w:rsidP="002800A0"/>
          <w:p w14:paraId="643744B1" w14:textId="77777777" w:rsidR="00CA5354" w:rsidRPr="00C62222" w:rsidRDefault="00CA5354" w:rsidP="00CA5354">
            <w:pPr>
              <w:rPr>
                <w:szCs w:val="24"/>
              </w:rPr>
            </w:pPr>
            <w:r w:rsidRPr="00C62222">
              <w:rPr>
                <w:szCs w:val="24"/>
              </w:rPr>
              <w:t>To carry out the demonstration place about</w:t>
            </w:r>
            <w:r>
              <w:rPr>
                <w:szCs w:val="24"/>
              </w:rPr>
              <w:t xml:space="preserve"> </w:t>
            </w:r>
            <w:r w:rsidRPr="00C62222">
              <w:rPr>
                <w:szCs w:val="24"/>
              </w:rPr>
              <w:t xml:space="preserve">5 </w:t>
            </w:r>
            <w:r>
              <w:rPr>
                <w:szCs w:val="24"/>
              </w:rPr>
              <w:t>cm</w:t>
            </w:r>
            <w:r w:rsidRPr="00C62222"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 xml:space="preserve"> of the bromate</w:t>
            </w:r>
            <w:r w:rsidRPr="00C62222">
              <w:rPr>
                <w:szCs w:val="24"/>
              </w:rPr>
              <w:t xml:space="preserve"> in a beaker and add 1 </w:t>
            </w:r>
            <w:r>
              <w:rPr>
                <w:szCs w:val="24"/>
              </w:rPr>
              <w:t>cm</w:t>
            </w:r>
            <w:r w:rsidRPr="00335D02">
              <w:rPr>
                <w:szCs w:val="24"/>
                <w:vertAlign w:val="superscript"/>
              </w:rPr>
              <w:t>3</w:t>
            </w:r>
            <w:r w:rsidRPr="00C62222">
              <w:rPr>
                <w:szCs w:val="24"/>
              </w:rPr>
              <w:t xml:space="preserve"> each of </w:t>
            </w:r>
            <w:r>
              <w:rPr>
                <w:szCs w:val="24"/>
              </w:rPr>
              <w:t>the bromide, malonic acid and sulphuric acid.</w:t>
            </w:r>
            <w:r w:rsidRPr="00C62222">
              <w:rPr>
                <w:szCs w:val="24"/>
              </w:rPr>
              <w:t>.</w:t>
            </w:r>
          </w:p>
          <w:p w14:paraId="37531C62" w14:textId="77777777" w:rsidR="00CA5354" w:rsidRDefault="00CA5354" w:rsidP="00CA5354">
            <w:pPr>
              <w:rPr>
                <w:szCs w:val="24"/>
              </w:rPr>
            </w:pPr>
            <w:r w:rsidRPr="00C62222">
              <w:rPr>
                <w:szCs w:val="24"/>
              </w:rPr>
              <w:t xml:space="preserve">The mixture </w:t>
            </w:r>
            <w:r>
              <w:rPr>
                <w:szCs w:val="24"/>
              </w:rPr>
              <w:t>w</w:t>
            </w:r>
            <w:r w:rsidRPr="00C62222">
              <w:rPr>
                <w:szCs w:val="24"/>
              </w:rPr>
              <w:t>i</w:t>
            </w:r>
            <w:r>
              <w:rPr>
                <w:szCs w:val="24"/>
              </w:rPr>
              <w:t>ll</w:t>
            </w:r>
            <w:r w:rsidRPr="00C62222">
              <w:rPr>
                <w:szCs w:val="24"/>
              </w:rPr>
              <w:t xml:space="preserve"> </w:t>
            </w:r>
            <w:r>
              <w:rPr>
                <w:szCs w:val="24"/>
              </w:rPr>
              <w:t>go</w:t>
            </w:r>
            <w:r w:rsidRPr="00C62222">
              <w:rPr>
                <w:szCs w:val="24"/>
              </w:rPr>
              <w:t xml:space="preserve"> yellow because of bromine production.</w:t>
            </w:r>
            <w:r>
              <w:rPr>
                <w:szCs w:val="24"/>
              </w:rPr>
              <w:t xml:space="preserve"> </w:t>
            </w:r>
            <w:r w:rsidRPr="00C62222">
              <w:rPr>
                <w:szCs w:val="24"/>
              </w:rPr>
              <w:t>Swirl the beaker until the yellow colo</w:t>
            </w:r>
            <w:r>
              <w:rPr>
                <w:szCs w:val="24"/>
              </w:rPr>
              <w:t>u</w:t>
            </w:r>
            <w:r w:rsidRPr="00C62222">
              <w:rPr>
                <w:szCs w:val="24"/>
              </w:rPr>
              <w:t xml:space="preserve">r completely disappears. Then add 1 or 2 </w:t>
            </w:r>
            <w:r>
              <w:rPr>
                <w:szCs w:val="24"/>
              </w:rPr>
              <w:t>cm</w:t>
            </w:r>
            <w:r w:rsidRPr="00335D02">
              <w:rPr>
                <w:szCs w:val="24"/>
                <w:vertAlign w:val="superscript"/>
              </w:rPr>
              <w:t>3</w:t>
            </w:r>
            <w:r w:rsidRPr="00C62222">
              <w:rPr>
                <w:szCs w:val="24"/>
              </w:rPr>
              <w:t>of E (the ferroin indicator</w:t>
            </w:r>
            <w:r>
              <w:rPr>
                <w:szCs w:val="24"/>
              </w:rPr>
              <w:t xml:space="preserve"> </w:t>
            </w:r>
            <w:r w:rsidRPr="00C62222">
              <w:rPr>
                <w:szCs w:val="24"/>
              </w:rPr>
              <w:t>solution), and swirl to mix. Pour the mixture into a Petri</w:t>
            </w:r>
            <w:r>
              <w:rPr>
                <w:szCs w:val="24"/>
              </w:rPr>
              <w:t xml:space="preserve"> dish.</w:t>
            </w:r>
          </w:p>
          <w:p w14:paraId="0A74AC87" w14:textId="77777777" w:rsidR="00CA5354" w:rsidRDefault="00CA5354" w:rsidP="00CA5354">
            <w:pPr>
              <w:rPr>
                <w:szCs w:val="24"/>
              </w:rPr>
            </w:pPr>
            <w:r w:rsidRPr="00C62222">
              <w:rPr>
                <w:szCs w:val="24"/>
              </w:rPr>
              <w:t>Initially red in colo</w:t>
            </w:r>
            <w:r>
              <w:rPr>
                <w:szCs w:val="24"/>
              </w:rPr>
              <w:t>u</w:t>
            </w:r>
            <w:r w:rsidRPr="00C62222">
              <w:rPr>
                <w:szCs w:val="24"/>
              </w:rPr>
              <w:t>r</w:t>
            </w:r>
            <w:r>
              <w:rPr>
                <w:szCs w:val="24"/>
              </w:rPr>
              <w:t>,</w:t>
            </w:r>
            <w:r w:rsidRPr="00C62222">
              <w:rPr>
                <w:szCs w:val="24"/>
              </w:rPr>
              <w:t xml:space="preserve"> let </w:t>
            </w:r>
            <w:r>
              <w:rPr>
                <w:szCs w:val="24"/>
              </w:rPr>
              <w:t xml:space="preserve">the solution </w:t>
            </w:r>
            <w:r w:rsidRPr="00C62222">
              <w:rPr>
                <w:szCs w:val="24"/>
              </w:rPr>
              <w:t>stand. After a while, tiny blue spots will</w:t>
            </w:r>
            <w:r>
              <w:rPr>
                <w:szCs w:val="24"/>
              </w:rPr>
              <w:t xml:space="preserve"> </w:t>
            </w:r>
            <w:r w:rsidRPr="00C62222">
              <w:rPr>
                <w:szCs w:val="24"/>
              </w:rPr>
              <w:t>start to appear. Each spot will slowly expand, eventually</w:t>
            </w:r>
            <w:r>
              <w:rPr>
                <w:szCs w:val="24"/>
              </w:rPr>
              <w:t xml:space="preserve"> </w:t>
            </w:r>
            <w:r w:rsidRPr="00C62222">
              <w:rPr>
                <w:szCs w:val="24"/>
              </w:rPr>
              <w:t>producing a series of concentric rings. The reaction may</w:t>
            </w:r>
            <w:r>
              <w:rPr>
                <w:szCs w:val="24"/>
              </w:rPr>
              <w:t xml:space="preserve"> </w:t>
            </w:r>
            <w:r w:rsidRPr="00C62222">
              <w:rPr>
                <w:szCs w:val="24"/>
              </w:rPr>
              <w:t xml:space="preserve">continue for half an hour, or even longer. </w:t>
            </w:r>
          </w:p>
          <w:p w14:paraId="5EB5F045" w14:textId="0190BFFF" w:rsidR="00CC27BB" w:rsidRPr="00433122" w:rsidRDefault="00CC27BB" w:rsidP="00433122">
            <w:pPr>
              <w:ind w:left="2127" w:hanging="2127"/>
              <w:rPr>
                <w:sz w:val="22"/>
                <w:szCs w:val="22"/>
              </w:rPr>
            </w:pP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77777777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5BE8FEF5" w:rsidR="00CC27BB" w:rsidRDefault="008A69B0" w:rsidP="00E47935">
            <w:r>
              <w:t xml:space="preserve">This reaction looks particularly good when the </w:t>
            </w:r>
            <w:proofErr w:type="spellStart"/>
            <w:r>
              <w:t>pertri</w:t>
            </w:r>
            <w:proofErr w:type="spellEnd"/>
            <w:r>
              <w:t xml:space="preserve"> dish with the mixture is placed on an overhead projector and the image projected on a screen.</w:t>
            </w:r>
            <w:bookmarkStart w:id="0" w:name="_GoBack"/>
            <w:bookmarkEnd w:id="0"/>
          </w:p>
        </w:tc>
      </w:tr>
    </w:tbl>
    <w:p w14:paraId="412B5F15" w14:textId="77777777" w:rsidR="00185440" w:rsidRDefault="00462EFE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32B65" w14:textId="77777777" w:rsidR="00462EFE" w:rsidRDefault="00462EFE">
      <w:r>
        <w:separator/>
      </w:r>
    </w:p>
  </w:endnote>
  <w:endnote w:type="continuationSeparator" w:id="0">
    <w:p w14:paraId="17ED28FE" w14:textId="77777777" w:rsidR="00462EFE" w:rsidRDefault="0046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462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462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50646" w14:textId="77777777" w:rsidR="00462EFE" w:rsidRDefault="00462EFE">
      <w:r>
        <w:separator/>
      </w:r>
    </w:p>
  </w:footnote>
  <w:footnote w:type="continuationSeparator" w:id="0">
    <w:p w14:paraId="3935630D" w14:textId="77777777" w:rsidR="00462EFE" w:rsidRDefault="0046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462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462E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462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71DC"/>
    <w:rsid w:val="000147A5"/>
    <w:rsid w:val="00023F5A"/>
    <w:rsid w:val="000411AA"/>
    <w:rsid w:val="00073352"/>
    <w:rsid w:val="00075F36"/>
    <w:rsid w:val="000A0CAD"/>
    <w:rsid w:val="000E7345"/>
    <w:rsid w:val="00107A90"/>
    <w:rsid w:val="00112662"/>
    <w:rsid w:val="00125C63"/>
    <w:rsid w:val="00137C36"/>
    <w:rsid w:val="001800B9"/>
    <w:rsid w:val="001A4C37"/>
    <w:rsid w:val="001D1C70"/>
    <w:rsid w:val="001D5AF0"/>
    <w:rsid w:val="001E2A1B"/>
    <w:rsid w:val="001F5077"/>
    <w:rsid w:val="00210072"/>
    <w:rsid w:val="00276A2D"/>
    <w:rsid w:val="00286852"/>
    <w:rsid w:val="002A3876"/>
    <w:rsid w:val="002B13CC"/>
    <w:rsid w:val="002B7C9A"/>
    <w:rsid w:val="002C24AE"/>
    <w:rsid w:val="002E14C2"/>
    <w:rsid w:val="00331814"/>
    <w:rsid w:val="00336184"/>
    <w:rsid w:val="00350637"/>
    <w:rsid w:val="00384A41"/>
    <w:rsid w:val="00393E7C"/>
    <w:rsid w:val="003A78B4"/>
    <w:rsid w:val="003E431B"/>
    <w:rsid w:val="003F3EA1"/>
    <w:rsid w:val="00407157"/>
    <w:rsid w:val="00423CD9"/>
    <w:rsid w:val="00433122"/>
    <w:rsid w:val="00462453"/>
    <w:rsid w:val="00462EFE"/>
    <w:rsid w:val="004655A2"/>
    <w:rsid w:val="004C4DCD"/>
    <w:rsid w:val="004D39A2"/>
    <w:rsid w:val="004E2074"/>
    <w:rsid w:val="004E3F3E"/>
    <w:rsid w:val="004E6BC3"/>
    <w:rsid w:val="00521D90"/>
    <w:rsid w:val="00524E81"/>
    <w:rsid w:val="005314E9"/>
    <w:rsid w:val="005358BA"/>
    <w:rsid w:val="00553CA6"/>
    <w:rsid w:val="0058088E"/>
    <w:rsid w:val="005902A9"/>
    <w:rsid w:val="005C43C5"/>
    <w:rsid w:val="005C60DB"/>
    <w:rsid w:val="006053B3"/>
    <w:rsid w:val="006529D9"/>
    <w:rsid w:val="0065328D"/>
    <w:rsid w:val="006864CD"/>
    <w:rsid w:val="006A3422"/>
    <w:rsid w:val="006C17F9"/>
    <w:rsid w:val="006D2E20"/>
    <w:rsid w:val="006D5D77"/>
    <w:rsid w:val="006E1CDF"/>
    <w:rsid w:val="006E27A3"/>
    <w:rsid w:val="006F57EA"/>
    <w:rsid w:val="007210D6"/>
    <w:rsid w:val="00750648"/>
    <w:rsid w:val="00752E9D"/>
    <w:rsid w:val="00763E0A"/>
    <w:rsid w:val="007663E7"/>
    <w:rsid w:val="00784F60"/>
    <w:rsid w:val="007B439F"/>
    <w:rsid w:val="007D1320"/>
    <w:rsid w:val="007F3A43"/>
    <w:rsid w:val="007F5E3B"/>
    <w:rsid w:val="0081148D"/>
    <w:rsid w:val="008378DA"/>
    <w:rsid w:val="008565CE"/>
    <w:rsid w:val="008621CB"/>
    <w:rsid w:val="0089423E"/>
    <w:rsid w:val="0089525B"/>
    <w:rsid w:val="00896FA3"/>
    <w:rsid w:val="008A0857"/>
    <w:rsid w:val="008A69B0"/>
    <w:rsid w:val="00903375"/>
    <w:rsid w:val="009071E0"/>
    <w:rsid w:val="009133F1"/>
    <w:rsid w:val="00934390"/>
    <w:rsid w:val="009448D5"/>
    <w:rsid w:val="0094799B"/>
    <w:rsid w:val="009601EF"/>
    <w:rsid w:val="009736C3"/>
    <w:rsid w:val="009A086A"/>
    <w:rsid w:val="009B4517"/>
    <w:rsid w:val="00A12563"/>
    <w:rsid w:val="00AA532D"/>
    <w:rsid w:val="00AD0A0A"/>
    <w:rsid w:val="00AD4B81"/>
    <w:rsid w:val="00AE0267"/>
    <w:rsid w:val="00AF1FE4"/>
    <w:rsid w:val="00B24B10"/>
    <w:rsid w:val="00B302C5"/>
    <w:rsid w:val="00B8315D"/>
    <w:rsid w:val="00BA3643"/>
    <w:rsid w:val="00C17AEF"/>
    <w:rsid w:val="00C8648E"/>
    <w:rsid w:val="00C942F0"/>
    <w:rsid w:val="00CA5354"/>
    <w:rsid w:val="00CC16E3"/>
    <w:rsid w:val="00CC27BB"/>
    <w:rsid w:val="00CE06AF"/>
    <w:rsid w:val="00CE6E0F"/>
    <w:rsid w:val="00D0477D"/>
    <w:rsid w:val="00D20938"/>
    <w:rsid w:val="00D24C31"/>
    <w:rsid w:val="00D542C5"/>
    <w:rsid w:val="00D6673B"/>
    <w:rsid w:val="00DB2243"/>
    <w:rsid w:val="00DF19A1"/>
    <w:rsid w:val="00E16922"/>
    <w:rsid w:val="00E42D4C"/>
    <w:rsid w:val="00E47935"/>
    <w:rsid w:val="00E52BC5"/>
    <w:rsid w:val="00E82E1C"/>
    <w:rsid w:val="00E93AA0"/>
    <w:rsid w:val="00EA4487"/>
    <w:rsid w:val="00EB3A1F"/>
    <w:rsid w:val="00EB7C10"/>
    <w:rsid w:val="00EC550B"/>
    <w:rsid w:val="00ED1F6D"/>
    <w:rsid w:val="00ED3F4F"/>
    <w:rsid w:val="00EE25DC"/>
    <w:rsid w:val="00EF2D12"/>
    <w:rsid w:val="00EF7D57"/>
    <w:rsid w:val="00F22EA6"/>
    <w:rsid w:val="00F31A31"/>
    <w:rsid w:val="00F35525"/>
    <w:rsid w:val="00F35942"/>
    <w:rsid w:val="00F64D93"/>
    <w:rsid w:val="00FA3CD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126</cp:revision>
  <dcterms:created xsi:type="dcterms:W3CDTF">2019-11-27T13:54:00Z</dcterms:created>
  <dcterms:modified xsi:type="dcterms:W3CDTF">2019-11-28T10:14:00Z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