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9" w:history="1">
                              <w:r w:rsidRPr="008C7693">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1" w:history="1">
                        <w:r w:rsidRPr="008C7693">
                          <w:rPr>
                            <w:rStyle w:val="Hyperlink"/>
                            <w:rFonts w:eastAsiaTheme="majorEastAsia"/>
                            <w:sz w:val="18"/>
                          </w:rPr>
                          <w:t>enquiries@sserc.org.uk</w:t>
                        </w:r>
                      </w:hyperlink>
                      <w:r>
                        <w:rPr>
                          <w:sz w:val="18"/>
                        </w:rPr>
                        <w:tab/>
                      </w:r>
                      <w:r>
                        <w:rPr>
                          <w:sz w:val="18"/>
                        </w:rPr>
                        <w:tab/>
                        <w:t xml:space="preserve">web : </w:t>
                      </w:r>
                      <w:hyperlink r:id="rId12"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3A78B4" w14:paraId="0ABED3D4" w14:textId="77777777" w:rsidTr="002800A0">
        <w:tc>
          <w:tcPr>
            <w:tcW w:w="3085" w:type="dxa"/>
          </w:tcPr>
          <w:p w14:paraId="415F7095" w14:textId="77777777" w:rsidR="003A78B4" w:rsidRDefault="003A78B4" w:rsidP="003A78B4">
            <w:pPr>
              <w:pStyle w:val="Heading6"/>
            </w:pPr>
            <w:r>
              <w:t>Activity assessed</w:t>
            </w:r>
          </w:p>
        </w:tc>
        <w:tc>
          <w:tcPr>
            <w:tcW w:w="5843" w:type="dxa"/>
          </w:tcPr>
          <w:p w14:paraId="056EE7CA" w14:textId="57CEB03B" w:rsidR="003A78B4" w:rsidRDefault="003A78B4" w:rsidP="003A78B4">
            <w:r>
              <w:t>Ammonia fountain</w:t>
            </w:r>
          </w:p>
        </w:tc>
      </w:tr>
      <w:tr w:rsidR="003A78B4" w14:paraId="0A748382" w14:textId="77777777" w:rsidTr="002800A0">
        <w:tc>
          <w:tcPr>
            <w:tcW w:w="3085" w:type="dxa"/>
          </w:tcPr>
          <w:p w14:paraId="55D11C45" w14:textId="77777777" w:rsidR="003A78B4" w:rsidRDefault="003A78B4" w:rsidP="003A78B4">
            <w:pPr>
              <w:rPr>
                <w:i/>
                <w:iCs/>
              </w:rPr>
            </w:pPr>
            <w:r>
              <w:rPr>
                <w:i/>
                <w:iCs/>
              </w:rPr>
              <w:t>Date of assessment</w:t>
            </w:r>
          </w:p>
        </w:tc>
        <w:tc>
          <w:tcPr>
            <w:tcW w:w="5843" w:type="dxa"/>
          </w:tcPr>
          <w:p w14:paraId="52365C01" w14:textId="030C70E4" w:rsidR="003A78B4" w:rsidRDefault="003A78B4" w:rsidP="003A78B4">
            <w:r>
              <w:t>24</w:t>
            </w:r>
            <w:r w:rsidRPr="00C95DD7">
              <w:rPr>
                <w:vertAlign w:val="superscript"/>
              </w:rPr>
              <w:t>th</w:t>
            </w:r>
            <w:r>
              <w:t xml:space="preserve"> March 2014</w:t>
            </w:r>
          </w:p>
        </w:tc>
      </w:tr>
      <w:tr w:rsidR="00CC27BB" w14:paraId="1F8D67AE" w14:textId="77777777" w:rsidTr="002800A0">
        <w:tc>
          <w:tcPr>
            <w:tcW w:w="3085" w:type="dxa"/>
          </w:tcPr>
          <w:p w14:paraId="32E5D058" w14:textId="77777777" w:rsidR="00CC27BB" w:rsidRDefault="00CC27BB" w:rsidP="002800A0">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2800A0">
            <w:pPr>
              <w:pStyle w:val="Salutation"/>
            </w:pPr>
          </w:p>
        </w:tc>
      </w:tr>
      <w:tr w:rsidR="00CC27BB" w14:paraId="7655495B" w14:textId="77777777" w:rsidTr="002800A0">
        <w:tc>
          <w:tcPr>
            <w:tcW w:w="3085" w:type="dxa"/>
          </w:tcPr>
          <w:p w14:paraId="0ECF34E9" w14:textId="77777777" w:rsidR="00CC27BB" w:rsidRDefault="00CC27BB" w:rsidP="002800A0">
            <w:pPr>
              <w:rPr>
                <w:i/>
                <w:iCs/>
              </w:rPr>
            </w:pPr>
            <w:r>
              <w:rPr>
                <w:i/>
                <w:iCs/>
              </w:rPr>
              <w:t>School</w:t>
            </w:r>
          </w:p>
        </w:tc>
        <w:tc>
          <w:tcPr>
            <w:tcW w:w="5843" w:type="dxa"/>
          </w:tcPr>
          <w:p w14:paraId="3E2D990C" w14:textId="77777777" w:rsidR="00CC27BB" w:rsidRDefault="00CC27BB" w:rsidP="002800A0">
            <w:pPr>
              <w:pStyle w:val="Salutation"/>
            </w:pPr>
          </w:p>
        </w:tc>
      </w:tr>
      <w:tr w:rsidR="00CC27BB" w14:paraId="5A7A51CA" w14:textId="77777777" w:rsidTr="002800A0">
        <w:tc>
          <w:tcPr>
            <w:tcW w:w="3085" w:type="dxa"/>
          </w:tcPr>
          <w:p w14:paraId="40EC2CC2" w14:textId="77777777" w:rsidR="00CC27BB" w:rsidRDefault="00CC27BB" w:rsidP="002800A0">
            <w:pPr>
              <w:rPr>
                <w:i/>
                <w:iCs/>
              </w:rPr>
            </w:pPr>
            <w:r>
              <w:rPr>
                <w:i/>
                <w:iCs/>
              </w:rPr>
              <w:t>Department</w:t>
            </w:r>
          </w:p>
        </w:tc>
        <w:tc>
          <w:tcPr>
            <w:tcW w:w="5843" w:type="dxa"/>
          </w:tcPr>
          <w:p w14:paraId="3F7DDC54" w14:textId="77777777" w:rsidR="00CC27BB" w:rsidRDefault="00CC27BB" w:rsidP="002800A0"/>
        </w:tc>
      </w:tr>
    </w:tbl>
    <w:p w14:paraId="21A092F8" w14:textId="77777777" w:rsidR="00CC27BB" w:rsidRDefault="00CC27BB" w:rsidP="00CC27B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0"/>
        <w:gridCol w:w="2551"/>
        <w:gridCol w:w="6237"/>
        <w:gridCol w:w="1134"/>
        <w:gridCol w:w="993"/>
        <w:gridCol w:w="708"/>
      </w:tblGrid>
      <w:tr w:rsidR="00CC27BB" w14:paraId="21A9275B" w14:textId="77777777" w:rsidTr="00CC27BB">
        <w:trPr>
          <w:tblHeader/>
        </w:trPr>
        <w:tc>
          <w:tcPr>
            <w:tcW w:w="2660"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551"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6237"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CC27BB">
        <w:trPr>
          <w:tblHeader/>
        </w:trPr>
        <w:tc>
          <w:tcPr>
            <w:tcW w:w="2660"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551"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6237"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CC27BB">
        <w:trPr>
          <w:trHeight w:val="344"/>
        </w:trPr>
        <w:tc>
          <w:tcPr>
            <w:tcW w:w="2660" w:type="dxa"/>
            <w:vMerge/>
            <w:shd w:val="clear" w:color="auto" w:fill="FABF8F" w:themeFill="accent6" w:themeFillTint="99"/>
          </w:tcPr>
          <w:p w14:paraId="2C0ADB15" w14:textId="77777777" w:rsidR="00CC27BB" w:rsidRDefault="00CC27BB" w:rsidP="002800A0">
            <w:pPr>
              <w:pStyle w:val="Salutation"/>
              <w:rPr>
                <w:i/>
                <w:iCs/>
              </w:rPr>
            </w:pPr>
          </w:p>
        </w:tc>
        <w:tc>
          <w:tcPr>
            <w:tcW w:w="2551" w:type="dxa"/>
            <w:vMerge/>
            <w:shd w:val="clear" w:color="auto" w:fill="FABF8F" w:themeFill="accent6" w:themeFillTint="99"/>
          </w:tcPr>
          <w:p w14:paraId="37838BB2" w14:textId="77777777" w:rsidR="00CC27BB" w:rsidRDefault="00CC27BB" w:rsidP="002800A0">
            <w:pPr>
              <w:rPr>
                <w:i/>
                <w:iCs/>
              </w:rPr>
            </w:pPr>
          </w:p>
        </w:tc>
        <w:tc>
          <w:tcPr>
            <w:tcW w:w="6237"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CC27BB" w14:paraId="6B628DC7" w14:textId="77777777" w:rsidTr="002800A0">
        <w:trPr>
          <w:trHeight w:val="709"/>
        </w:trPr>
        <w:tc>
          <w:tcPr>
            <w:tcW w:w="2660" w:type="dxa"/>
          </w:tcPr>
          <w:p w14:paraId="7094C915" w14:textId="77777777" w:rsidR="000071DC" w:rsidRDefault="000071DC" w:rsidP="000071DC">
            <w:r>
              <w:t xml:space="preserve">Ammonia gas is toxic by inhalation. </w:t>
            </w:r>
          </w:p>
          <w:p w14:paraId="1B6DE719" w14:textId="77777777" w:rsidR="00CC27BB" w:rsidRDefault="00CC27BB" w:rsidP="002800A0"/>
        </w:tc>
        <w:tc>
          <w:tcPr>
            <w:tcW w:w="2551" w:type="dxa"/>
          </w:tcPr>
          <w:p w14:paraId="3E05FBAA" w14:textId="77777777" w:rsidR="004655A2" w:rsidRDefault="004655A2" w:rsidP="004655A2">
            <w:r>
              <w:t>Demonstrator / technician by inhalation while preparing the flask.</w:t>
            </w:r>
          </w:p>
          <w:p w14:paraId="685597AD" w14:textId="588F78C4" w:rsidR="00CC27BB" w:rsidRDefault="004655A2" w:rsidP="002800A0">
            <w:r>
              <w:t>Audience while watching the demonstration.</w:t>
            </w:r>
          </w:p>
        </w:tc>
        <w:tc>
          <w:tcPr>
            <w:tcW w:w="6237" w:type="dxa"/>
          </w:tcPr>
          <w:p w14:paraId="01AF340D" w14:textId="77777777" w:rsidR="00553CA6" w:rsidRDefault="00553CA6" w:rsidP="00553CA6">
            <w:r>
              <w:t>All the preparation must be carried out in a fume cupboard.</w:t>
            </w:r>
          </w:p>
          <w:p w14:paraId="396C95E3" w14:textId="77777777" w:rsidR="00553CA6" w:rsidRDefault="00553CA6" w:rsidP="00553CA6"/>
          <w:p w14:paraId="34A8D323" w14:textId="05702871" w:rsidR="00CC27BB" w:rsidRDefault="00553CA6" w:rsidP="002800A0">
            <w:r>
              <w:t>Unless the flask breaks there will be no leakage of ammonia into the room. Even if there is, the room concentration would be orders of magnitude below a hazardous level, even close to the apparatus, the low density of ammonia will ensure that most of the gas is carried upwards, away from the audience.</w:t>
            </w:r>
          </w:p>
        </w:tc>
        <w:tc>
          <w:tcPr>
            <w:tcW w:w="1134" w:type="dxa"/>
          </w:tcPr>
          <w:p w14:paraId="4BB8AF72" w14:textId="77777777" w:rsidR="00CC27BB" w:rsidRDefault="00CC27BB" w:rsidP="002800A0"/>
        </w:tc>
        <w:tc>
          <w:tcPr>
            <w:tcW w:w="993" w:type="dxa"/>
          </w:tcPr>
          <w:p w14:paraId="072F7811" w14:textId="77777777" w:rsidR="00CC27BB" w:rsidRDefault="00CC27BB" w:rsidP="002800A0"/>
        </w:tc>
        <w:tc>
          <w:tcPr>
            <w:tcW w:w="708" w:type="dxa"/>
          </w:tcPr>
          <w:p w14:paraId="431DDAE0" w14:textId="77777777" w:rsidR="00CC27BB" w:rsidRDefault="00CC27BB" w:rsidP="002800A0"/>
        </w:tc>
      </w:tr>
      <w:tr w:rsidR="00CC27BB" w14:paraId="656071DD" w14:textId="77777777" w:rsidTr="002800A0">
        <w:trPr>
          <w:trHeight w:val="718"/>
        </w:trPr>
        <w:tc>
          <w:tcPr>
            <w:tcW w:w="2660" w:type="dxa"/>
          </w:tcPr>
          <w:p w14:paraId="16B36295" w14:textId="18A37345" w:rsidR="00CC27BB" w:rsidRDefault="008621CB" w:rsidP="002800A0">
            <w:r>
              <w:t>Ammonia solution (.880) is corrosive</w:t>
            </w:r>
          </w:p>
        </w:tc>
        <w:tc>
          <w:tcPr>
            <w:tcW w:w="2551" w:type="dxa"/>
          </w:tcPr>
          <w:p w14:paraId="7AD9BBE7" w14:textId="2C3C4C9F" w:rsidR="00CC27BB" w:rsidRDefault="00EE25DC" w:rsidP="002800A0">
            <w:r>
              <w:t>Demonstrator / technician by splashes while preparing the flask of ammonia.</w:t>
            </w:r>
          </w:p>
        </w:tc>
        <w:tc>
          <w:tcPr>
            <w:tcW w:w="6237" w:type="dxa"/>
          </w:tcPr>
          <w:p w14:paraId="0E0A7B97" w14:textId="57DCFE75" w:rsidR="00CC27BB" w:rsidRDefault="00EA4487" w:rsidP="002800A0">
            <w:r>
              <w:t>Wear goggles (BN ES166 3) and nitrile gloves.</w:t>
            </w:r>
          </w:p>
        </w:tc>
        <w:tc>
          <w:tcPr>
            <w:tcW w:w="1134" w:type="dxa"/>
          </w:tcPr>
          <w:p w14:paraId="43340E45" w14:textId="77777777" w:rsidR="00CC27BB" w:rsidRDefault="00CC27BB" w:rsidP="002800A0"/>
        </w:tc>
        <w:tc>
          <w:tcPr>
            <w:tcW w:w="993" w:type="dxa"/>
          </w:tcPr>
          <w:p w14:paraId="3F1452AB" w14:textId="77777777" w:rsidR="00CC27BB" w:rsidRDefault="00CC27BB" w:rsidP="002800A0"/>
        </w:tc>
        <w:tc>
          <w:tcPr>
            <w:tcW w:w="708" w:type="dxa"/>
          </w:tcPr>
          <w:p w14:paraId="09B44FA7" w14:textId="77777777" w:rsidR="00CC27BB" w:rsidRDefault="00CC27BB" w:rsidP="002800A0"/>
        </w:tc>
      </w:tr>
      <w:tr w:rsidR="00CC27BB" w14:paraId="5B4D54B3" w14:textId="77777777" w:rsidTr="002800A0">
        <w:trPr>
          <w:trHeight w:val="718"/>
        </w:trPr>
        <w:tc>
          <w:tcPr>
            <w:tcW w:w="2660" w:type="dxa"/>
          </w:tcPr>
          <w:p w14:paraId="6A0D9F09" w14:textId="25E14756" w:rsidR="00CC27BB" w:rsidRDefault="00750648" w:rsidP="002800A0">
            <w:r>
              <w:t xml:space="preserve">Phenolphthalein solution (or any other indicator </w:t>
            </w:r>
            <w:r w:rsidR="009B4517">
              <w:t xml:space="preserve">if </w:t>
            </w:r>
            <w:r>
              <w:t>prepared in ethanol</w:t>
            </w:r>
            <w:r w:rsidR="009B4517">
              <w:t xml:space="preserve"> or </w:t>
            </w:r>
            <w:r>
              <w:t>propanol) is highly flammable</w:t>
            </w:r>
          </w:p>
        </w:tc>
        <w:tc>
          <w:tcPr>
            <w:tcW w:w="2551" w:type="dxa"/>
          </w:tcPr>
          <w:p w14:paraId="00AC4D28" w14:textId="52DA2B5B" w:rsidR="00CC27BB" w:rsidRDefault="002B13CC" w:rsidP="002800A0">
            <w:r>
              <w:t>Demonstrator / technician if the bottle of indicator ignites.</w:t>
            </w:r>
          </w:p>
        </w:tc>
        <w:tc>
          <w:tcPr>
            <w:tcW w:w="6237" w:type="dxa"/>
          </w:tcPr>
          <w:p w14:paraId="65400A97" w14:textId="5B32F4BE" w:rsidR="00CC27BB" w:rsidRDefault="009B4517" w:rsidP="002800A0">
            <w:r>
              <w:t>Keep indicator solution well away from any source of ignition</w:t>
            </w:r>
            <w:r>
              <w:t>.</w:t>
            </w:r>
          </w:p>
        </w:tc>
        <w:tc>
          <w:tcPr>
            <w:tcW w:w="1134" w:type="dxa"/>
          </w:tcPr>
          <w:p w14:paraId="64E32622" w14:textId="77777777" w:rsidR="00CC27BB" w:rsidRDefault="00CC27BB" w:rsidP="002800A0"/>
        </w:tc>
        <w:tc>
          <w:tcPr>
            <w:tcW w:w="993" w:type="dxa"/>
          </w:tcPr>
          <w:p w14:paraId="793ADA0A" w14:textId="77777777" w:rsidR="00CC27BB" w:rsidRDefault="00CC27BB" w:rsidP="002800A0"/>
        </w:tc>
        <w:tc>
          <w:tcPr>
            <w:tcW w:w="708" w:type="dxa"/>
          </w:tcPr>
          <w:p w14:paraId="61CB9CDA" w14:textId="77777777" w:rsidR="00CC27BB" w:rsidRDefault="00CC27BB" w:rsidP="002800A0"/>
        </w:tc>
      </w:tr>
      <w:tr w:rsidR="00CC27BB" w14:paraId="300C818B" w14:textId="77777777" w:rsidTr="002800A0">
        <w:trPr>
          <w:trHeight w:val="718"/>
        </w:trPr>
        <w:tc>
          <w:tcPr>
            <w:tcW w:w="2660" w:type="dxa"/>
          </w:tcPr>
          <w:p w14:paraId="40B73A62" w14:textId="03DB1B0B" w:rsidR="00CC27BB" w:rsidRDefault="00276A2D" w:rsidP="002800A0">
            <w:r>
              <w:t>Phenolphthalein (if used) is a carcinogen (cat 2)</w:t>
            </w:r>
          </w:p>
        </w:tc>
        <w:tc>
          <w:tcPr>
            <w:tcW w:w="2551" w:type="dxa"/>
          </w:tcPr>
          <w:p w14:paraId="504795E5" w14:textId="0616C3D1" w:rsidR="00CC27BB" w:rsidRDefault="008378DA" w:rsidP="002800A0">
            <w:r>
              <w:t>Demonstrator / technician by inhalation, skin contact or ingestion while preparing the dilute solution.</w:t>
            </w:r>
          </w:p>
        </w:tc>
        <w:tc>
          <w:tcPr>
            <w:tcW w:w="6237" w:type="dxa"/>
          </w:tcPr>
          <w:p w14:paraId="08BB8031" w14:textId="77777777" w:rsidR="00F64D93" w:rsidRDefault="00F64D93" w:rsidP="00F64D93">
            <w:r>
              <w:t xml:space="preserve">Wear gloves and eye protection, avoid raising dust. </w:t>
            </w:r>
          </w:p>
          <w:p w14:paraId="654E594A" w14:textId="7B3FBCE4" w:rsidR="00CC27BB" w:rsidRDefault="00F64D93" w:rsidP="00F64D93">
            <w:r>
              <w:t xml:space="preserve">Ensure solution is less than 1% in </w:t>
            </w:r>
            <w:r>
              <w:t>concentration</w:t>
            </w:r>
            <w:r w:rsidR="00286852">
              <w:t xml:space="preserve"> (below which it is not classified as hazardous)</w:t>
            </w:r>
            <w:r>
              <w:t>.</w:t>
            </w:r>
            <w:r>
              <w:t xml:space="preserve"> </w:t>
            </w:r>
          </w:p>
        </w:tc>
        <w:tc>
          <w:tcPr>
            <w:tcW w:w="1134" w:type="dxa"/>
          </w:tcPr>
          <w:p w14:paraId="09C469B1" w14:textId="77777777" w:rsidR="00CC27BB" w:rsidRDefault="00CC27BB" w:rsidP="002800A0"/>
        </w:tc>
        <w:tc>
          <w:tcPr>
            <w:tcW w:w="993" w:type="dxa"/>
          </w:tcPr>
          <w:p w14:paraId="4F175DCD" w14:textId="77777777" w:rsidR="00CC27BB" w:rsidRDefault="00CC27BB" w:rsidP="002800A0"/>
        </w:tc>
        <w:tc>
          <w:tcPr>
            <w:tcW w:w="708" w:type="dxa"/>
          </w:tcPr>
          <w:p w14:paraId="4E766BA5" w14:textId="77777777" w:rsidR="00CC27BB" w:rsidRDefault="00CC27BB" w:rsidP="002800A0"/>
        </w:tc>
      </w:tr>
      <w:tr w:rsidR="00286852" w14:paraId="23D1401D" w14:textId="77777777" w:rsidTr="002800A0">
        <w:trPr>
          <w:trHeight w:val="718"/>
        </w:trPr>
        <w:tc>
          <w:tcPr>
            <w:tcW w:w="2660" w:type="dxa"/>
          </w:tcPr>
          <w:p w14:paraId="669A4F34" w14:textId="1B69ED4B" w:rsidR="00286852" w:rsidRDefault="004E3F3E" w:rsidP="002800A0">
            <w:r>
              <w:lastRenderedPageBreak/>
              <w:t>The flask may implode</w:t>
            </w:r>
            <w:r>
              <w:t>.</w:t>
            </w:r>
          </w:p>
        </w:tc>
        <w:tc>
          <w:tcPr>
            <w:tcW w:w="2551" w:type="dxa"/>
          </w:tcPr>
          <w:p w14:paraId="48DD72EE" w14:textId="15F0EB4C" w:rsidR="00286852" w:rsidRDefault="00AA532D" w:rsidP="002800A0">
            <w:r>
              <w:t>Demonstrator</w:t>
            </w:r>
            <w:r>
              <w:t xml:space="preserve"> (possibly audience)</w:t>
            </w:r>
            <w:r>
              <w:t xml:space="preserve"> by flying glass.</w:t>
            </w:r>
          </w:p>
        </w:tc>
        <w:tc>
          <w:tcPr>
            <w:tcW w:w="6237" w:type="dxa"/>
          </w:tcPr>
          <w:p w14:paraId="722F0C4D" w14:textId="77777777" w:rsidR="00286852" w:rsidRDefault="00EB3A1F" w:rsidP="00F64D93">
            <w:r>
              <w:t>Wear eye protection. Use a strong, borosilicate, round-bottomed flask. Or some other strong flask.</w:t>
            </w:r>
          </w:p>
          <w:p w14:paraId="728EE3A8" w14:textId="0DDD5051" w:rsidR="00ED3F4F" w:rsidRDefault="00ED3F4F" w:rsidP="00F64D93">
            <w:r>
              <w:t xml:space="preserve">Keep audience </w:t>
            </w:r>
            <w:r w:rsidR="00C17AEF">
              <w:t>at least 2 m back</w:t>
            </w:r>
            <w:bookmarkStart w:id="0" w:name="_GoBack"/>
            <w:bookmarkEnd w:id="0"/>
            <w:r w:rsidR="00C17AEF">
              <w:t>.</w:t>
            </w:r>
          </w:p>
        </w:tc>
        <w:tc>
          <w:tcPr>
            <w:tcW w:w="1134" w:type="dxa"/>
          </w:tcPr>
          <w:p w14:paraId="6EC0A402" w14:textId="77777777" w:rsidR="00286852" w:rsidRDefault="00286852" w:rsidP="002800A0"/>
        </w:tc>
        <w:tc>
          <w:tcPr>
            <w:tcW w:w="993" w:type="dxa"/>
          </w:tcPr>
          <w:p w14:paraId="6F60C3DB" w14:textId="77777777" w:rsidR="00286852" w:rsidRDefault="00286852" w:rsidP="002800A0"/>
        </w:tc>
        <w:tc>
          <w:tcPr>
            <w:tcW w:w="708" w:type="dxa"/>
          </w:tcPr>
          <w:p w14:paraId="6E468E62" w14:textId="77777777" w:rsidR="00286852" w:rsidRDefault="00286852" w:rsidP="002800A0"/>
        </w:tc>
      </w:tr>
    </w:tbl>
    <w:p w14:paraId="6AD27AD9" w14:textId="77777777" w:rsidR="00CC27BB" w:rsidRDefault="00CC27BB" w:rsidP="00CC27B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CC27BB" w14:paraId="04CF7A16" w14:textId="77777777" w:rsidTr="00ED3F4F">
        <w:trPr>
          <w:trHeight w:val="3403"/>
        </w:trPr>
        <w:tc>
          <w:tcPr>
            <w:tcW w:w="14026" w:type="dxa"/>
          </w:tcPr>
          <w:p w14:paraId="27BFD05E" w14:textId="77777777" w:rsidR="00CC27BB" w:rsidRDefault="00CC27BB" w:rsidP="002800A0">
            <w:pPr>
              <w:rPr>
                <w:b/>
                <w:bCs/>
                <w:sz w:val="28"/>
              </w:rPr>
            </w:pPr>
            <w:r>
              <w:rPr>
                <w:b/>
                <w:bCs/>
                <w:sz w:val="28"/>
              </w:rPr>
              <w:t>Description of activity:</w:t>
            </w:r>
          </w:p>
          <w:p w14:paraId="04A9719B" w14:textId="77777777" w:rsidR="00CC27BB" w:rsidRDefault="00CC27BB" w:rsidP="002800A0"/>
          <w:p w14:paraId="1276BB96" w14:textId="77777777" w:rsidR="005902A9" w:rsidRDefault="005902A9" w:rsidP="005902A9">
            <w:r>
              <w:t>A dry round-bottomed flask is filled with ammonia gas. Keeping the flask inverted, a 2-hole bung is put in the flask:  1 hole has a glass tube in, drawn into a jet that is positioned near the middle of the flask. The other hole has a syringe inserted into it with a few cm</w:t>
            </w:r>
            <w:r w:rsidRPr="008E0B55">
              <w:rPr>
                <w:vertAlign w:val="superscript"/>
              </w:rPr>
              <w:t>3</w:t>
            </w:r>
            <w:r>
              <w:t xml:space="preserve"> of cold water in.</w:t>
            </w:r>
          </w:p>
          <w:p w14:paraId="70071446" w14:textId="77777777" w:rsidR="005902A9" w:rsidRDefault="005902A9" w:rsidP="005902A9">
            <w:r>
              <w:t xml:space="preserve">A large beaker or other container is filled with water containing an acid/base indicator. The flask of ammonia is held over this container (probably by a clamp) ensuring the end of the tube is well below the surface. </w:t>
            </w:r>
          </w:p>
          <w:p w14:paraId="5EB5F045" w14:textId="5AA1B6C4" w:rsidR="00CC27BB" w:rsidRDefault="005902A9" w:rsidP="005902A9">
            <w:r>
              <w:t>A few cm3 of water are squirted from the syringe into the flask. The ammonia dissolved in this, creating a partial vacuum which draws more water, containing indicator, up the tube and through the jet into the flask, changing colour as it contacts the alkaline ammonia. This continues for some while (depending on the size of the flask and the jet) until the flask is almost filled with water.</w:t>
            </w:r>
          </w:p>
        </w:tc>
      </w:tr>
    </w:tbl>
    <w:p w14:paraId="268B4A80" w14:textId="77777777" w:rsidR="00CC27BB" w:rsidRDefault="00CC27BB" w:rsidP="00CC27BB">
      <w:pPr>
        <w:rPr>
          <w:sz w:val="28"/>
        </w:rPr>
      </w:pPr>
    </w:p>
    <w:p w14:paraId="48B5E64B" w14:textId="77777777" w:rsidR="00CC27BB" w:rsidRDefault="00CC27BB" w:rsidP="00CC27BB">
      <w:pPr>
        <w:rPr>
          <w:sz w:val="28"/>
        </w:rPr>
      </w:pPr>
    </w:p>
    <w:p w14:paraId="0550A444" w14:textId="77777777" w:rsidR="00CC27BB" w:rsidRDefault="00CC27BB" w:rsidP="00CC27BB">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CC27BB" w14:paraId="46978DC4" w14:textId="77777777" w:rsidTr="002800A0">
        <w:trPr>
          <w:trHeight w:val="2509"/>
        </w:trPr>
        <w:tc>
          <w:tcPr>
            <w:tcW w:w="14835" w:type="dxa"/>
          </w:tcPr>
          <w:p w14:paraId="01BA7017" w14:textId="77777777" w:rsidR="00CC27BB" w:rsidRDefault="00CC27BB" w:rsidP="002800A0">
            <w:pPr>
              <w:rPr>
                <w:b/>
                <w:bCs/>
                <w:sz w:val="28"/>
              </w:rPr>
            </w:pPr>
            <w:r>
              <w:rPr>
                <w:b/>
                <w:bCs/>
                <w:sz w:val="28"/>
              </w:rPr>
              <w:t>Additional comments:</w:t>
            </w:r>
          </w:p>
          <w:p w14:paraId="686ADC59" w14:textId="77777777" w:rsidR="00CC27BB" w:rsidRDefault="00CC27BB" w:rsidP="002800A0"/>
          <w:p w14:paraId="34428AB3" w14:textId="77777777" w:rsidR="00CC27BB" w:rsidRDefault="00CC27BB" w:rsidP="002800A0">
            <w:r>
              <w:t>Disposal</w:t>
            </w:r>
          </w:p>
          <w:p w14:paraId="77CFC220" w14:textId="77777777" w:rsidR="00CC27BB" w:rsidRDefault="00CC27BB" w:rsidP="002800A0"/>
          <w:p w14:paraId="7857424D" w14:textId="4F9EAFC9" w:rsidR="00CC27BB" w:rsidRDefault="00ED3F4F" w:rsidP="002800A0">
            <w:r>
              <w:t>The contents of the flask can be washed down the sink in the fume cupboard with plenty of water.</w:t>
            </w:r>
          </w:p>
        </w:tc>
      </w:tr>
    </w:tbl>
    <w:p w14:paraId="3F26738B" w14:textId="77777777" w:rsidR="00CC27BB" w:rsidRDefault="00CC27BB" w:rsidP="00CC27BB">
      <w:pPr>
        <w:rPr>
          <w:sz w:val="28"/>
        </w:rPr>
      </w:pPr>
    </w:p>
    <w:p w14:paraId="412B5F15" w14:textId="77777777" w:rsidR="00185440" w:rsidRDefault="00C17AEF"/>
    <w:sectPr w:rsidR="00185440" w:rsidSect="0081789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2110" w14:textId="77777777" w:rsidR="00000000" w:rsidRDefault="00C17AEF">
      <w:r>
        <w:separator/>
      </w:r>
    </w:p>
  </w:endnote>
  <w:endnote w:type="continuationSeparator" w:id="0">
    <w:p w14:paraId="3950AFC9" w14:textId="77777777" w:rsidR="00000000" w:rsidRDefault="00C1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48EC" w14:textId="77777777" w:rsidR="00ED375A" w:rsidRDefault="00C17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3B98" w14:textId="77777777" w:rsidR="00ED375A" w:rsidRDefault="00C1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5BD2" w14:textId="77777777" w:rsidR="00000000" w:rsidRDefault="00C17AEF">
      <w:r>
        <w:separator/>
      </w:r>
    </w:p>
  </w:footnote>
  <w:footnote w:type="continuationSeparator" w:id="0">
    <w:p w14:paraId="148288E6" w14:textId="77777777" w:rsidR="00000000" w:rsidRDefault="00C1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25A0" w14:textId="77777777" w:rsidR="00ED375A" w:rsidRDefault="00C17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B79" w14:textId="77777777" w:rsidR="00ED375A" w:rsidRDefault="00C17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C5B5" w14:textId="77777777" w:rsidR="00ED375A" w:rsidRDefault="00C17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071DC"/>
    <w:rsid w:val="000147A5"/>
    <w:rsid w:val="001D1C70"/>
    <w:rsid w:val="00276A2D"/>
    <w:rsid w:val="00286852"/>
    <w:rsid w:val="002B13CC"/>
    <w:rsid w:val="00393E7C"/>
    <w:rsid w:val="003A78B4"/>
    <w:rsid w:val="003F3EA1"/>
    <w:rsid w:val="004655A2"/>
    <w:rsid w:val="004E3F3E"/>
    <w:rsid w:val="00553CA6"/>
    <w:rsid w:val="005902A9"/>
    <w:rsid w:val="006E27A3"/>
    <w:rsid w:val="00750648"/>
    <w:rsid w:val="008378DA"/>
    <w:rsid w:val="008621CB"/>
    <w:rsid w:val="009601EF"/>
    <w:rsid w:val="009B4517"/>
    <w:rsid w:val="00AA532D"/>
    <w:rsid w:val="00BA3643"/>
    <w:rsid w:val="00C17AEF"/>
    <w:rsid w:val="00CC27BB"/>
    <w:rsid w:val="00D24C31"/>
    <w:rsid w:val="00E82E1C"/>
    <w:rsid w:val="00EA4487"/>
    <w:rsid w:val="00EB3A1F"/>
    <w:rsid w:val="00EB7C10"/>
    <w:rsid w:val="00ED3F4F"/>
    <w:rsid w:val="00EE25DC"/>
    <w:rsid w:val="00F31A31"/>
    <w:rsid w:val="00F6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ser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serc.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nquiries@sser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3.xml><?xml version="1.0" encoding="utf-8"?>
<ds:datastoreItem xmlns:ds="http://schemas.openxmlformats.org/officeDocument/2006/customXml" ds:itemID="{70540996-9A8C-4C60-98E4-7FF7ADACE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21</cp:revision>
  <dcterms:created xsi:type="dcterms:W3CDTF">2019-11-27T13:54:00Z</dcterms:created>
  <dcterms:modified xsi:type="dcterms:W3CDTF">2019-11-27T14:13:00Z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