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0A5F" w14:textId="77777777" w:rsidR="00CC27BB" w:rsidRDefault="00CC27BB" w:rsidP="00CC27BB">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42C23701" wp14:editId="2FC4F609">
                <wp:simplePos x="0" y="0"/>
                <wp:positionH relativeFrom="margin">
                  <wp:align>right</wp:align>
                </wp:positionH>
                <wp:positionV relativeFrom="paragraph">
                  <wp:posOffset>6350</wp:posOffset>
                </wp:positionV>
                <wp:extent cx="6964680" cy="1051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9" w:history="1">
                              <w:r w:rsidRPr="008C7693">
                                <w:rPr>
                                  <w:rStyle w:val="Hyperlink"/>
                                  <w:rFonts w:eastAsiaTheme="majorEastAsia"/>
                                  <w:sz w:val="18"/>
                                </w:rPr>
                                <w:t>enquiries@sserc.org.uk</w:t>
                              </w:r>
                            </w:hyperlink>
                            <w:r>
                              <w:rPr>
                                <w:sz w:val="18"/>
                              </w:rPr>
                              <w:tab/>
                            </w:r>
                            <w:r>
                              <w:rPr>
                                <w:sz w:val="18"/>
                              </w:rPr>
                              <w:tab/>
                              <w:t xml:space="preserve">web : </w:t>
                            </w:r>
                            <w:hyperlink r:id="rId10"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701" id="_x0000_t202" coordsize="21600,21600" o:spt="202" path="m,l,21600r21600,l21600,xe">
                <v:stroke joinstyle="miter"/>
                <v:path gradientshapeok="t" o:connecttype="rect"/>
              </v:shapetype>
              <v:shape id="Text Box 4" o:spid="_x0000_s1026" type="#_x0000_t202" style="position:absolute;margin-left:497.2pt;margin-top:.5pt;width:548.4pt;height:8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1L8g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" filled="f" fillcolor="silver" stroked="f">
                <v:textbo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11" w:history="1">
                        <w:r w:rsidRPr="008C7693">
                          <w:rPr>
                            <w:rStyle w:val="Hyperlink"/>
                            <w:rFonts w:eastAsiaTheme="majorEastAsia"/>
                            <w:sz w:val="18"/>
                          </w:rPr>
                          <w:t>enquiries@sserc.org.uk</w:t>
                        </w:r>
                      </w:hyperlink>
                      <w:r>
                        <w:rPr>
                          <w:sz w:val="18"/>
                        </w:rPr>
                        <w:tab/>
                      </w:r>
                      <w:r>
                        <w:rPr>
                          <w:sz w:val="18"/>
                        </w:rPr>
                        <w:tab/>
                        <w:t xml:space="preserve">web : </w:t>
                      </w:r>
                      <w:hyperlink r:id="rId12"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v:textbox>
                <w10:wrap anchorx="margin"/>
              </v:shape>
            </w:pict>
          </mc:Fallback>
        </mc:AlternateContent>
      </w:r>
      <w:r>
        <w:rPr>
          <w:noProof/>
          <w:sz w:val="24"/>
        </w:rPr>
        <w:drawing>
          <wp:inline distT="0" distB="0" distL="0" distR="0" wp14:anchorId="321F747D" wp14:editId="7BC4A23E">
            <wp:extent cx="2037715" cy="8072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792" cy="821162"/>
                    </a:xfrm>
                    <a:prstGeom prst="rect">
                      <a:avLst/>
                    </a:prstGeom>
                  </pic:spPr>
                </pic:pic>
              </a:graphicData>
            </a:graphic>
          </wp:inline>
        </w:drawing>
      </w:r>
    </w:p>
    <w:p w14:paraId="5B3A931C" w14:textId="77777777" w:rsidR="00CC27BB" w:rsidRDefault="00CC27BB" w:rsidP="00CC27BB">
      <w:pPr>
        <w:pStyle w:val="Heading1"/>
        <w:rPr>
          <w:sz w:val="24"/>
        </w:rPr>
      </w:pPr>
    </w:p>
    <w:p w14:paraId="712A86A4" w14:textId="77777777" w:rsidR="00CC27BB" w:rsidRDefault="00CC27BB" w:rsidP="00CC27BB">
      <w:pPr>
        <w:pStyle w:val="Heading1"/>
        <w:rPr>
          <w:sz w:val="24"/>
        </w:rPr>
      </w:pPr>
    </w:p>
    <w:p w14:paraId="077C29E2" w14:textId="77777777" w:rsidR="00CC27BB" w:rsidRDefault="00CC27BB" w:rsidP="00CC27BB">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CC27BB" w14:paraId="0ABED3D4" w14:textId="77777777" w:rsidTr="002800A0">
        <w:tc>
          <w:tcPr>
            <w:tcW w:w="3085" w:type="dxa"/>
          </w:tcPr>
          <w:p w14:paraId="415F7095" w14:textId="77777777" w:rsidR="00CC27BB" w:rsidRDefault="00CC27BB" w:rsidP="002800A0">
            <w:pPr>
              <w:pStyle w:val="Heading6"/>
            </w:pPr>
            <w:r>
              <w:t>Activity assessed</w:t>
            </w:r>
          </w:p>
        </w:tc>
        <w:tc>
          <w:tcPr>
            <w:tcW w:w="5843" w:type="dxa"/>
          </w:tcPr>
          <w:p w14:paraId="056EE7CA" w14:textId="77777777" w:rsidR="00CC27BB" w:rsidRDefault="00CC27BB" w:rsidP="002800A0">
            <w:r>
              <w:t>Aluminium iodine reaction</w:t>
            </w:r>
          </w:p>
        </w:tc>
      </w:tr>
      <w:tr w:rsidR="00CC27BB" w14:paraId="0A748382" w14:textId="77777777" w:rsidTr="002800A0">
        <w:tc>
          <w:tcPr>
            <w:tcW w:w="3085" w:type="dxa"/>
          </w:tcPr>
          <w:p w14:paraId="55D11C45" w14:textId="77777777" w:rsidR="00CC27BB" w:rsidRDefault="00CC27BB" w:rsidP="002800A0">
            <w:pPr>
              <w:rPr>
                <w:i/>
                <w:iCs/>
              </w:rPr>
            </w:pPr>
            <w:r>
              <w:rPr>
                <w:i/>
                <w:iCs/>
              </w:rPr>
              <w:t>Date of assessment</w:t>
            </w:r>
          </w:p>
        </w:tc>
        <w:tc>
          <w:tcPr>
            <w:tcW w:w="5843" w:type="dxa"/>
          </w:tcPr>
          <w:p w14:paraId="52365C01" w14:textId="77777777" w:rsidR="00CC27BB" w:rsidRDefault="00CC27BB" w:rsidP="002800A0">
            <w:r>
              <w:t>24</w:t>
            </w:r>
            <w:r w:rsidRPr="00FC48CE">
              <w:rPr>
                <w:vertAlign w:val="superscript"/>
              </w:rPr>
              <w:t>th</w:t>
            </w:r>
            <w:r>
              <w:t xml:space="preserve"> March 2014</w:t>
            </w:r>
          </w:p>
        </w:tc>
      </w:tr>
      <w:tr w:rsidR="00CC27BB" w14:paraId="1F8D67AE" w14:textId="77777777" w:rsidTr="002800A0">
        <w:tc>
          <w:tcPr>
            <w:tcW w:w="3085" w:type="dxa"/>
          </w:tcPr>
          <w:p w14:paraId="32E5D058" w14:textId="77777777" w:rsidR="00CC27BB" w:rsidRDefault="00CC27BB" w:rsidP="002800A0">
            <w:pPr>
              <w:rPr>
                <w:i/>
                <w:iCs/>
              </w:rPr>
            </w:pPr>
            <w:r>
              <w:rPr>
                <w:i/>
                <w:iCs/>
              </w:rPr>
              <w:t>Date of review (</w:t>
            </w:r>
            <w:r w:rsidRPr="00692100">
              <w:rPr>
                <w:b/>
                <w:i/>
                <w:iCs/>
              </w:rPr>
              <w:t>Step 5</w:t>
            </w:r>
            <w:r>
              <w:rPr>
                <w:i/>
                <w:iCs/>
              </w:rPr>
              <w:t>)</w:t>
            </w:r>
          </w:p>
        </w:tc>
        <w:tc>
          <w:tcPr>
            <w:tcW w:w="5843" w:type="dxa"/>
          </w:tcPr>
          <w:p w14:paraId="357689B3" w14:textId="77777777" w:rsidR="00CC27BB" w:rsidRDefault="00CC27BB" w:rsidP="002800A0">
            <w:pPr>
              <w:pStyle w:val="Salutation"/>
            </w:pPr>
          </w:p>
        </w:tc>
      </w:tr>
      <w:tr w:rsidR="00CC27BB" w14:paraId="7655495B" w14:textId="77777777" w:rsidTr="002800A0">
        <w:tc>
          <w:tcPr>
            <w:tcW w:w="3085" w:type="dxa"/>
          </w:tcPr>
          <w:p w14:paraId="0ECF34E9" w14:textId="77777777" w:rsidR="00CC27BB" w:rsidRDefault="00CC27BB" w:rsidP="002800A0">
            <w:pPr>
              <w:rPr>
                <w:i/>
                <w:iCs/>
              </w:rPr>
            </w:pPr>
            <w:r>
              <w:rPr>
                <w:i/>
                <w:iCs/>
              </w:rPr>
              <w:t>School</w:t>
            </w:r>
          </w:p>
        </w:tc>
        <w:tc>
          <w:tcPr>
            <w:tcW w:w="5843" w:type="dxa"/>
          </w:tcPr>
          <w:p w14:paraId="3E2D990C" w14:textId="77777777" w:rsidR="00CC27BB" w:rsidRDefault="00CC27BB" w:rsidP="002800A0">
            <w:pPr>
              <w:pStyle w:val="Salutation"/>
            </w:pPr>
          </w:p>
        </w:tc>
      </w:tr>
      <w:tr w:rsidR="00CC27BB" w14:paraId="5A7A51CA" w14:textId="77777777" w:rsidTr="002800A0">
        <w:tc>
          <w:tcPr>
            <w:tcW w:w="3085" w:type="dxa"/>
          </w:tcPr>
          <w:p w14:paraId="40EC2CC2" w14:textId="77777777" w:rsidR="00CC27BB" w:rsidRDefault="00CC27BB" w:rsidP="002800A0">
            <w:pPr>
              <w:rPr>
                <w:i/>
                <w:iCs/>
              </w:rPr>
            </w:pPr>
            <w:r>
              <w:rPr>
                <w:i/>
                <w:iCs/>
              </w:rPr>
              <w:t>Department</w:t>
            </w:r>
          </w:p>
        </w:tc>
        <w:tc>
          <w:tcPr>
            <w:tcW w:w="5843" w:type="dxa"/>
          </w:tcPr>
          <w:p w14:paraId="3F7DDC54" w14:textId="77777777" w:rsidR="00CC27BB" w:rsidRDefault="00CC27BB" w:rsidP="002800A0"/>
        </w:tc>
      </w:tr>
    </w:tbl>
    <w:p w14:paraId="21A092F8" w14:textId="77777777" w:rsidR="00CC27BB" w:rsidRDefault="00CC27BB" w:rsidP="00CC27B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0"/>
        <w:gridCol w:w="2551"/>
        <w:gridCol w:w="6237"/>
        <w:gridCol w:w="1134"/>
        <w:gridCol w:w="993"/>
        <w:gridCol w:w="708"/>
      </w:tblGrid>
      <w:tr w:rsidR="00CC27BB" w14:paraId="21A9275B" w14:textId="77777777" w:rsidTr="00CC27BB">
        <w:trPr>
          <w:tblHeader/>
        </w:trPr>
        <w:tc>
          <w:tcPr>
            <w:tcW w:w="2660" w:type="dxa"/>
            <w:shd w:val="clear" w:color="auto" w:fill="E36C0A" w:themeFill="accent6" w:themeFillShade="BF"/>
          </w:tcPr>
          <w:p w14:paraId="2832ECBE" w14:textId="77777777" w:rsidR="00CC27BB" w:rsidRDefault="00CC27BB" w:rsidP="002800A0">
            <w:pPr>
              <w:jc w:val="center"/>
              <w:rPr>
                <w:sz w:val="28"/>
              </w:rPr>
            </w:pPr>
            <w:r>
              <w:rPr>
                <w:sz w:val="28"/>
              </w:rPr>
              <w:t>Step 1</w:t>
            </w:r>
          </w:p>
        </w:tc>
        <w:tc>
          <w:tcPr>
            <w:tcW w:w="2551" w:type="dxa"/>
            <w:shd w:val="clear" w:color="auto" w:fill="E36C0A" w:themeFill="accent6" w:themeFillShade="BF"/>
          </w:tcPr>
          <w:p w14:paraId="44B0F4CA" w14:textId="77777777" w:rsidR="00CC27BB" w:rsidRDefault="00CC27BB" w:rsidP="002800A0">
            <w:pPr>
              <w:jc w:val="center"/>
              <w:rPr>
                <w:sz w:val="28"/>
              </w:rPr>
            </w:pPr>
            <w:r>
              <w:rPr>
                <w:sz w:val="28"/>
              </w:rPr>
              <w:t>Step 2</w:t>
            </w:r>
          </w:p>
        </w:tc>
        <w:tc>
          <w:tcPr>
            <w:tcW w:w="6237" w:type="dxa"/>
            <w:shd w:val="clear" w:color="auto" w:fill="E36C0A" w:themeFill="accent6" w:themeFillShade="BF"/>
          </w:tcPr>
          <w:p w14:paraId="53ABB2F6" w14:textId="77777777" w:rsidR="00CC27BB" w:rsidRDefault="00CC27BB" w:rsidP="002800A0">
            <w:pPr>
              <w:jc w:val="center"/>
              <w:rPr>
                <w:sz w:val="28"/>
              </w:rPr>
            </w:pPr>
            <w:r>
              <w:rPr>
                <w:sz w:val="28"/>
              </w:rPr>
              <w:t>Step 3</w:t>
            </w:r>
          </w:p>
        </w:tc>
        <w:tc>
          <w:tcPr>
            <w:tcW w:w="2835" w:type="dxa"/>
            <w:gridSpan w:val="3"/>
            <w:shd w:val="clear" w:color="auto" w:fill="E36C0A" w:themeFill="accent6" w:themeFillShade="BF"/>
          </w:tcPr>
          <w:p w14:paraId="7CFD6F70" w14:textId="77777777" w:rsidR="00CC27BB" w:rsidRDefault="00CC27BB" w:rsidP="002800A0">
            <w:pPr>
              <w:jc w:val="center"/>
              <w:rPr>
                <w:sz w:val="28"/>
              </w:rPr>
            </w:pPr>
            <w:r>
              <w:rPr>
                <w:sz w:val="28"/>
              </w:rPr>
              <w:t>Step 4</w:t>
            </w:r>
          </w:p>
        </w:tc>
      </w:tr>
      <w:tr w:rsidR="00CC27BB" w14:paraId="1F73798D" w14:textId="77777777" w:rsidTr="00CC27BB">
        <w:trPr>
          <w:tblHeader/>
        </w:trPr>
        <w:tc>
          <w:tcPr>
            <w:tcW w:w="2660" w:type="dxa"/>
            <w:vMerge w:val="restart"/>
            <w:shd w:val="clear" w:color="auto" w:fill="FABF8F" w:themeFill="accent6" w:themeFillTint="99"/>
          </w:tcPr>
          <w:p w14:paraId="715797B6" w14:textId="77777777" w:rsidR="00CC27BB" w:rsidRDefault="00CC27BB" w:rsidP="002800A0">
            <w:pPr>
              <w:pStyle w:val="Salutation"/>
              <w:rPr>
                <w:sz w:val="28"/>
              </w:rPr>
            </w:pPr>
            <w:r>
              <w:rPr>
                <w:i/>
                <w:iCs/>
              </w:rPr>
              <w:t>List Significant hazards here:</w:t>
            </w:r>
          </w:p>
        </w:tc>
        <w:tc>
          <w:tcPr>
            <w:tcW w:w="2551" w:type="dxa"/>
            <w:vMerge w:val="restart"/>
            <w:shd w:val="clear" w:color="auto" w:fill="FABF8F" w:themeFill="accent6" w:themeFillTint="99"/>
          </w:tcPr>
          <w:p w14:paraId="48641029" w14:textId="77777777" w:rsidR="00CC27BB" w:rsidRDefault="00CC27BB" w:rsidP="002800A0">
            <w:pPr>
              <w:rPr>
                <w:sz w:val="28"/>
              </w:rPr>
            </w:pPr>
            <w:r>
              <w:rPr>
                <w:i/>
                <w:iCs/>
              </w:rPr>
              <w:t>Who might be harmed and how?</w:t>
            </w:r>
          </w:p>
        </w:tc>
        <w:tc>
          <w:tcPr>
            <w:tcW w:w="6237" w:type="dxa"/>
            <w:vMerge w:val="restart"/>
            <w:shd w:val="clear" w:color="auto" w:fill="FABF8F" w:themeFill="accent6" w:themeFillTint="99"/>
          </w:tcPr>
          <w:p w14:paraId="41CCD63A" w14:textId="77777777" w:rsidR="00CC27BB" w:rsidRDefault="00CC27BB" w:rsidP="002800A0">
            <w:pPr>
              <w:rPr>
                <w:i/>
                <w:iCs/>
              </w:rPr>
            </w:pPr>
            <w:r>
              <w:rPr>
                <w:i/>
                <w:iCs/>
              </w:rPr>
              <w:t>What are you already doing?</w:t>
            </w:r>
          </w:p>
          <w:p w14:paraId="6A434709" w14:textId="77777777" w:rsidR="00CC27BB" w:rsidRPr="00B22648" w:rsidRDefault="00CC27BB" w:rsidP="002800A0">
            <w:pPr>
              <w:rPr>
                <w:i/>
                <w:iCs/>
              </w:rPr>
            </w:pPr>
            <w:r>
              <w:rPr>
                <w:i/>
                <w:iCs/>
              </w:rPr>
              <w:t>What further action is needed?</w:t>
            </w:r>
          </w:p>
        </w:tc>
        <w:tc>
          <w:tcPr>
            <w:tcW w:w="2835" w:type="dxa"/>
            <w:gridSpan w:val="3"/>
            <w:shd w:val="clear" w:color="auto" w:fill="FABF8F" w:themeFill="accent6" w:themeFillTint="99"/>
          </w:tcPr>
          <w:p w14:paraId="3209078D" w14:textId="77777777" w:rsidR="00CC27BB" w:rsidRPr="00B22648" w:rsidRDefault="00CC27BB" w:rsidP="002800A0">
            <w:pPr>
              <w:jc w:val="center"/>
              <w:rPr>
                <w:i/>
                <w:iCs/>
              </w:rPr>
            </w:pPr>
            <w:r w:rsidRPr="00B22648">
              <w:rPr>
                <w:i/>
                <w:iCs/>
              </w:rPr>
              <w:t>Actions</w:t>
            </w:r>
          </w:p>
        </w:tc>
      </w:tr>
      <w:tr w:rsidR="00CC27BB" w14:paraId="358F4E90" w14:textId="77777777" w:rsidTr="00CC27BB">
        <w:trPr>
          <w:trHeight w:val="344"/>
        </w:trPr>
        <w:tc>
          <w:tcPr>
            <w:tcW w:w="2660" w:type="dxa"/>
            <w:vMerge/>
            <w:shd w:val="clear" w:color="auto" w:fill="FABF8F" w:themeFill="accent6" w:themeFillTint="99"/>
          </w:tcPr>
          <w:p w14:paraId="2C0ADB15" w14:textId="77777777" w:rsidR="00CC27BB" w:rsidRDefault="00CC27BB" w:rsidP="002800A0">
            <w:pPr>
              <w:pStyle w:val="Salutation"/>
              <w:rPr>
                <w:i/>
                <w:iCs/>
              </w:rPr>
            </w:pPr>
          </w:p>
        </w:tc>
        <w:tc>
          <w:tcPr>
            <w:tcW w:w="2551" w:type="dxa"/>
            <w:vMerge/>
            <w:shd w:val="clear" w:color="auto" w:fill="FABF8F" w:themeFill="accent6" w:themeFillTint="99"/>
          </w:tcPr>
          <w:p w14:paraId="37838BB2" w14:textId="77777777" w:rsidR="00CC27BB" w:rsidRDefault="00CC27BB" w:rsidP="002800A0">
            <w:pPr>
              <w:rPr>
                <w:i/>
                <w:iCs/>
              </w:rPr>
            </w:pPr>
          </w:p>
        </w:tc>
        <w:tc>
          <w:tcPr>
            <w:tcW w:w="6237" w:type="dxa"/>
            <w:vMerge/>
            <w:shd w:val="clear" w:color="auto" w:fill="FABF8F" w:themeFill="accent6" w:themeFillTint="99"/>
          </w:tcPr>
          <w:p w14:paraId="4C93080D" w14:textId="77777777" w:rsidR="00CC27BB" w:rsidRDefault="00CC27BB" w:rsidP="002800A0">
            <w:pPr>
              <w:rPr>
                <w:i/>
                <w:iCs/>
              </w:rPr>
            </w:pPr>
          </w:p>
        </w:tc>
        <w:tc>
          <w:tcPr>
            <w:tcW w:w="1134" w:type="dxa"/>
            <w:shd w:val="clear" w:color="auto" w:fill="FABF8F" w:themeFill="accent6" w:themeFillTint="99"/>
          </w:tcPr>
          <w:p w14:paraId="3FA8B323" w14:textId="77777777" w:rsidR="00CC27BB" w:rsidRDefault="00CC27BB" w:rsidP="002800A0">
            <w:pPr>
              <w:rPr>
                <w:i/>
                <w:iCs/>
              </w:rPr>
            </w:pPr>
            <w:r>
              <w:rPr>
                <w:i/>
                <w:iCs/>
              </w:rPr>
              <w:t>by whom?</w:t>
            </w:r>
          </w:p>
        </w:tc>
        <w:tc>
          <w:tcPr>
            <w:tcW w:w="993" w:type="dxa"/>
            <w:shd w:val="clear" w:color="auto" w:fill="FABF8F" w:themeFill="accent6" w:themeFillTint="99"/>
          </w:tcPr>
          <w:p w14:paraId="45ED2C71" w14:textId="77777777" w:rsidR="00CC27BB" w:rsidRDefault="00CC27BB" w:rsidP="002800A0">
            <w:pPr>
              <w:rPr>
                <w:i/>
                <w:iCs/>
              </w:rPr>
            </w:pPr>
            <w:r>
              <w:rPr>
                <w:i/>
                <w:iCs/>
              </w:rPr>
              <w:t>Due date</w:t>
            </w:r>
          </w:p>
        </w:tc>
        <w:tc>
          <w:tcPr>
            <w:tcW w:w="708" w:type="dxa"/>
            <w:shd w:val="clear" w:color="auto" w:fill="FABF8F" w:themeFill="accent6" w:themeFillTint="99"/>
          </w:tcPr>
          <w:p w14:paraId="36CEC604" w14:textId="77777777" w:rsidR="00CC27BB" w:rsidRDefault="00CC27BB" w:rsidP="002800A0">
            <w:pPr>
              <w:rPr>
                <w:i/>
                <w:iCs/>
              </w:rPr>
            </w:pPr>
            <w:r>
              <w:rPr>
                <w:i/>
                <w:iCs/>
              </w:rPr>
              <w:t>Done</w:t>
            </w:r>
          </w:p>
        </w:tc>
      </w:tr>
      <w:tr w:rsidR="00CC27BB" w14:paraId="6B628DC7" w14:textId="77777777" w:rsidTr="002800A0">
        <w:trPr>
          <w:trHeight w:val="709"/>
        </w:trPr>
        <w:tc>
          <w:tcPr>
            <w:tcW w:w="2660" w:type="dxa"/>
          </w:tcPr>
          <w:p w14:paraId="55C5AC40" w14:textId="77777777" w:rsidR="00CC27BB" w:rsidRDefault="00CC27BB" w:rsidP="002800A0">
            <w:r>
              <w:t>Iodine is harmful in contact with the skin.</w:t>
            </w:r>
          </w:p>
          <w:p w14:paraId="1B6DE719" w14:textId="77777777" w:rsidR="00CC27BB" w:rsidRDefault="00CC27BB" w:rsidP="002800A0"/>
        </w:tc>
        <w:tc>
          <w:tcPr>
            <w:tcW w:w="2551" w:type="dxa"/>
          </w:tcPr>
          <w:p w14:paraId="6247675F" w14:textId="77777777" w:rsidR="00CC27BB" w:rsidRDefault="00CC27BB" w:rsidP="002800A0">
            <w:r>
              <w:t>Demonstrator / technician while weighing and grinding the iodine.</w:t>
            </w:r>
          </w:p>
          <w:p w14:paraId="685597AD" w14:textId="77777777" w:rsidR="00CC27BB" w:rsidRDefault="00CC27BB" w:rsidP="002800A0"/>
        </w:tc>
        <w:tc>
          <w:tcPr>
            <w:tcW w:w="6237" w:type="dxa"/>
          </w:tcPr>
          <w:p w14:paraId="36A8C4D4" w14:textId="77777777" w:rsidR="00CC27BB" w:rsidRDefault="00CC27BB" w:rsidP="002800A0">
            <w:r>
              <w:t>Wear eye protection and gloves.</w:t>
            </w:r>
          </w:p>
          <w:p w14:paraId="0393D1F6" w14:textId="77777777" w:rsidR="00CC27BB" w:rsidRDefault="00CC27BB" w:rsidP="002800A0"/>
          <w:p w14:paraId="58EA6EC8" w14:textId="77777777" w:rsidR="00CC27BB" w:rsidRDefault="00CC27BB" w:rsidP="002800A0"/>
          <w:p w14:paraId="34A8D323" w14:textId="77777777" w:rsidR="00CC27BB" w:rsidRDefault="00CC27BB" w:rsidP="002800A0"/>
        </w:tc>
        <w:tc>
          <w:tcPr>
            <w:tcW w:w="1134" w:type="dxa"/>
          </w:tcPr>
          <w:p w14:paraId="4BB8AF72" w14:textId="77777777" w:rsidR="00CC27BB" w:rsidRDefault="00CC27BB" w:rsidP="002800A0"/>
        </w:tc>
        <w:tc>
          <w:tcPr>
            <w:tcW w:w="993" w:type="dxa"/>
          </w:tcPr>
          <w:p w14:paraId="072F7811" w14:textId="77777777" w:rsidR="00CC27BB" w:rsidRDefault="00CC27BB" w:rsidP="002800A0"/>
        </w:tc>
        <w:tc>
          <w:tcPr>
            <w:tcW w:w="708" w:type="dxa"/>
          </w:tcPr>
          <w:p w14:paraId="431DDAE0" w14:textId="77777777" w:rsidR="00CC27BB" w:rsidRDefault="00CC27BB" w:rsidP="002800A0"/>
        </w:tc>
      </w:tr>
      <w:tr w:rsidR="00CC27BB" w14:paraId="656071DD" w14:textId="77777777" w:rsidTr="002800A0">
        <w:trPr>
          <w:trHeight w:val="718"/>
        </w:trPr>
        <w:tc>
          <w:tcPr>
            <w:tcW w:w="2660" w:type="dxa"/>
          </w:tcPr>
          <w:p w14:paraId="3EE5F34B" w14:textId="77777777" w:rsidR="00CC27BB" w:rsidRDefault="00CC27BB" w:rsidP="002800A0">
            <w:r>
              <w:t>Iodine vapour is harmful by inhalation.</w:t>
            </w:r>
          </w:p>
          <w:p w14:paraId="16B36295" w14:textId="77777777" w:rsidR="00CC27BB" w:rsidRDefault="00CC27BB" w:rsidP="002800A0"/>
        </w:tc>
        <w:tc>
          <w:tcPr>
            <w:tcW w:w="2551" w:type="dxa"/>
          </w:tcPr>
          <w:p w14:paraId="7AD9BBE7" w14:textId="77777777" w:rsidR="00CC27BB" w:rsidRDefault="00CC27BB" w:rsidP="002800A0">
            <w:r>
              <w:t>Demonstrator / audience by inhalation of fumes from the reaction</w:t>
            </w:r>
          </w:p>
        </w:tc>
        <w:tc>
          <w:tcPr>
            <w:tcW w:w="6237" w:type="dxa"/>
          </w:tcPr>
          <w:p w14:paraId="0E0A7B97" w14:textId="2EA24FF7" w:rsidR="00CC27BB" w:rsidRDefault="00ED77E0" w:rsidP="002800A0">
            <w:r>
              <w:t>Ensure the</w:t>
            </w:r>
            <w:r w:rsidR="00C15600">
              <w:t xml:space="preserve">re is a </w:t>
            </w:r>
            <w:r w:rsidR="001E23B0">
              <w:t xml:space="preserve">fermentation lock in the flask or some other method for </w:t>
            </w:r>
            <w:r w:rsidR="00D67349">
              <w:t>preventing the escape of fumes.</w:t>
            </w:r>
          </w:p>
        </w:tc>
        <w:tc>
          <w:tcPr>
            <w:tcW w:w="1134" w:type="dxa"/>
          </w:tcPr>
          <w:p w14:paraId="43340E45" w14:textId="77777777" w:rsidR="00CC27BB" w:rsidRDefault="00CC27BB" w:rsidP="002800A0"/>
        </w:tc>
        <w:tc>
          <w:tcPr>
            <w:tcW w:w="993" w:type="dxa"/>
          </w:tcPr>
          <w:p w14:paraId="3F1452AB" w14:textId="77777777" w:rsidR="00CC27BB" w:rsidRDefault="00CC27BB" w:rsidP="002800A0"/>
        </w:tc>
        <w:tc>
          <w:tcPr>
            <w:tcW w:w="708" w:type="dxa"/>
          </w:tcPr>
          <w:p w14:paraId="09B44FA7" w14:textId="77777777" w:rsidR="00CC27BB" w:rsidRDefault="00CC27BB" w:rsidP="002800A0"/>
        </w:tc>
      </w:tr>
      <w:tr w:rsidR="00CC27BB" w14:paraId="5B4D54B3" w14:textId="77777777" w:rsidTr="002800A0">
        <w:trPr>
          <w:trHeight w:val="718"/>
        </w:trPr>
        <w:tc>
          <w:tcPr>
            <w:tcW w:w="2660" w:type="dxa"/>
          </w:tcPr>
          <w:p w14:paraId="3FFD0DF7" w14:textId="77777777" w:rsidR="00CC27BB" w:rsidRDefault="00CC27BB" w:rsidP="002800A0">
            <w:r>
              <w:t>Hydrogen iodide fumes (produced in the reaction) are corrosive.</w:t>
            </w:r>
          </w:p>
          <w:p w14:paraId="6A0D9F09" w14:textId="77777777" w:rsidR="00CC27BB" w:rsidRDefault="00CC27BB" w:rsidP="002800A0"/>
        </w:tc>
        <w:tc>
          <w:tcPr>
            <w:tcW w:w="2551" w:type="dxa"/>
          </w:tcPr>
          <w:p w14:paraId="279B0219" w14:textId="77777777" w:rsidR="00CC27BB" w:rsidRDefault="00CC27BB" w:rsidP="002800A0">
            <w:r>
              <w:t>Demonstrator / audience by inhalation of or eye contact with fumes from the reaction.</w:t>
            </w:r>
          </w:p>
          <w:p w14:paraId="00AC4D28" w14:textId="77777777" w:rsidR="00CC27BB" w:rsidRDefault="00CC27BB" w:rsidP="002800A0"/>
        </w:tc>
        <w:tc>
          <w:tcPr>
            <w:tcW w:w="6237" w:type="dxa"/>
          </w:tcPr>
          <w:p w14:paraId="65400A97" w14:textId="5AF691C1" w:rsidR="00CC27BB" w:rsidRDefault="00D67349" w:rsidP="002800A0">
            <w:r>
              <w:t>Ensure there is a fermentation lock in the flask or some other method for preventing the escape of fumes.</w:t>
            </w:r>
          </w:p>
        </w:tc>
        <w:tc>
          <w:tcPr>
            <w:tcW w:w="1134" w:type="dxa"/>
          </w:tcPr>
          <w:p w14:paraId="64E32622" w14:textId="77777777" w:rsidR="00CC27BB" w:rsidRDefault="00CC27BB" w:rsidP="002800A0"/>
        </w:tc>
        <w:tc>
          <w:tcPr>
            <w:tcW w:w="993" w:type="dxa"/>
          </w:tcPr>
          <w:p w14:paraId="793ADA0A" w14:textId="77777777" w:rsidR="00CC27BB" w:rsidRDefault="00CC27BB" w:rsidP="002800A0"/>
        </w:tc>
        <w:tc>
          <w:tcPr>
            <w:tcW w:w="708" w:type="dxa"/>
          </w:tcPr>
          <w:p w14:paraId="61CB9CDA" w14:textId="77777777" w:rsidR="00CC27BB" w:rsidRDefault="00CC27BB" w:rsidP="002800A0"/>
        </w:tc>
      </w:tr>
      <w:tr w:rsidR="00CC27BB" w14:paraId="300C818B" w14:textId="77777777" w:rsidTr="002800A0">
        <w:trPr>
          <w:trHeight w:val="718"/>
        </w:trPr>
        <w:tc>
          <w:tcPr>
            <w:tcW w:w="2660" w:type="dxa"/>
          </w:tcPr>
          <w:p w14:paraId="40B73A62" w14:textId="77777777" w:rsidR="00CC27BB" w:rsidRDefault="00CC27BB" w:rsidP="002800A0">
            <w:r>
              <w:t>Aluminium iodide (produced in the reaction) reacts vigorously with water to release fumes of hydrogen iodide</w:t>
            </w:r>
          </w:p>
        </w:tc>
        <w:tc>
          <w:tcPr>
            <w:tcW w:w="2551" w:type="dxa"/>
          </w:tcPr>
          <w:p w14:paraId="504795E5" w14:textId="77777777" w:rsidR="00CC27BB" w:rsidRDefault="00CC27BB" w:rsidP="002800A0">
            <w:r>
              <w:t>Demonstrator / technician while clearing up after the reaction.</w:t>
            </w:r>
          </w:p>
        </w:tc>
        <w:tc>
          <w:tcPr>
            <w:tcW w:w="6237" w:type="dxa"/>
          </w:tcPr>
          <w:p w14:paraId="654E594A" w14:textId="2942746F" w:rsidR="00CC27BB" w:rsidRDefault="00CC27BB" w:rsidP="002800A0">
            <w:r>
              <w:t xml:space="preserve">Carry out initial rinsing in a fume cupboard. </w:t>
            </w:r>
            <w:r w:rsidR="00B7769A">
              <w:t xml:space="preserve">This is very small scale so </w:t>
            </w:r>
            <w:r w:rsidR="00D319A1">
              <w:t>very little hydrogen iodide is released.</w:t>
            </w:r>
          </w:p>
        </w:tc>
        <w:tc>
          <w:tcPr>
            <w:tcW w:w="1134" w:type="dxa"/>
          </w:tcPr>
          <w:p w14:paraId="09C469B1" w14:textId="77777777" w:rsidR="00CC27BB" w:rsidRDefault="00CC27BB" w:rsidP="002800A0"/>
        </w:tc>
        <w:tc>
          <w:tcPr>
            <w:tcW w:w="993" w:type="dxa"/>
          </w:tcPr>
          <w:p w14:paraId="4F175DCD" w14:textId="77777777" w:rsidR="00CC27BB" w:rsidRDefault="00CC27BB" w:rsidP="002800A0"/>
        </w:tc>
        <w:tc>
          <w:tcPr>
            <w:tcW w:w="708" w:type="dxa"/>
          </w:tcPr>
          <w:p w14:paraId="4E766BA5" w14:textId="77777777" w:rsidR="00CC27BB" w:rsidRDefault="00CC27BB" w:rsidP="002800A0"/>
        </w:tc>
      </w:tr>
    </w:tbl>
    <w:p w14:paraId="6AD27AD9" w14:textId="77777777" w:rsidR="00CC27BB" w:rsidRDefault="00CC27BB" w:rsidP="00CC27B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6"/>
      </w:tblGrid>
      <w:tr w:rsidR="00CC27BB" w14:paraId="04CF7A16" w14:textId="77777777" w:rsidTr="002800A0">
        <w:trPr>
          <w:trHeight w:val="6093"/>
        </w:trPr>
        <w:tc>
          <w:tcPr>
            <w:tcW w:w="14026" w:type="dxa"/>
          </w:tcPr>
          <w:p w14:paraId="27BFD05E" w14:textId="77777777" w:rsidR="00CC27BB" w:rsidRDefault="00CC27BB" w:rsidP="002800A0">
            <w:pPr>
              <w:rPr>
                <w:b/>
                <w:bCs/>
                <w:sz w:val="28"/>
              </w:rPr>
            </w:pPr>
            <w:r>
              <w:rPr>
                <w:b/>
                <w:bCs/>
                <w:sz w:val="28"/>
              </w:rPr>
              <w:lastRenderedPageBreak/>
              <w:t>Description of activity:</w:t>
            </w:r>
          </w:p>
          <w:p w14:paraId="04A9719B" w14:textId="77777777" w:rsidR="00CC27BB" w:rsidRDefault="00CC27BB" w:rsidP="002800A0"/>
          <w:p w14:paraId="7377F769" w14:textId="6D6986B0" w:rsidR="00CC27BB" w:rsidRDefault="00CC27BB" w:rsidP="002800A0">
            <w:r>
              <w:t xml:space="preserve">Solid iodine is finely ground and mixed with finely powdered aluminium. The mixture is placed </w:t>
            </w:r>
            <w:r w:rsidR="00D319A1">
              <w:t xml:space="preserve">in a </w:t>
            </w:r>
            <w:r w:rsidR="000A0FE9">
              <w:t>crown cork (bottle top)</w:t>
            </w:r>
            <w:r>
              <w:t xml:space="preserve"> </w:t>
            </w:r>
            <w:r w:rsidR="00204B30">
              <w:t xml:space="preserve">which is placed in a large (2 </w:t>
            </w:r>
            <w:proofErr w:type="spellStart"/>
            <w:r w:rsidR="00204B30">
              <w:t>litre</w:t>
            </w:r>
            <w:proofErr w:type="spellEnd"/>
            <w:r w:rsidR="00204B30">
              <w:t xml:space="preserve"> or so) flask</w:t>
            </w:r>
            <w:r w:rsidR="007125CA">
              <w:t>.</w:t>
            </w:r>
            <w:r>
              <w:t xml:space="preserve"> </w:t>
            </w:r>
            <w:r w:rsidR="007125CA">
              <w:t>T</w:t>
            </w:r>
            <w:r>
              <w:t>he reaction is initiated with a few drops of hot water.</w:t>
            </w:r>
            <w:r w:rsidR="007125CA">
              <w:t xml:space="preserve"> </w:t>
            </w:r>
            <w:r w:rsidR="00653540">
              <w:t xml:space="preserve">Immediately the water is added, </w:t>
            </w:r>
            <w:r w:rsidR="00FC2C9C">
              <w:t>a bung</w:t>
            </w:r>
            <w:r w:rsidR="00F64515">
              <w:t xml:space="preserve"> containing a fermentation lock that has sodium thiosulphate solution in is </w:t>
            </w:r>
            <w:r w:rsidR="009F3010">
              <w:t xml:space="preserve">inserted. (There is sufficient delay </w:t>
            </w:r>
            <w:r w:rsidR="00A21BFF">
              <w:t>before the reaction starts for ther</w:t>
            </w:r>
            <w:r w:rsidR="001D350D">
              <w:t>e</w:t>
            </w:r>
            <w:r w:rsidR="00A21BFF">
              <w:t xml:space="preserve"> to be plenty of time for this</w:t>
            </w:r>
            <w:r w:rsidR="001D350D">
              <w:t xml:space="preserve">). </w:t>
            </w:r>
          </w:p>
          <w:p w14:paraId="5C5B6882" w14:textId="77777777" w:rsidR="00CC27BB" w:rsidRDefault="00CC27BB" w:rsidP="002800A0"/>
          <w:p w14:paraId="39C53CB0" w14:textId="77777777" w:rsidR="00CC27BB" w:rsidRDefault="00CC27BB" w:rsidP="002800A0">
            <w:r>
              <w:t>Clouds of purple iodine vapour are released, along with some hydrogen iodide, in a highly exothermic reaction.</w:t>
            </w:r>
          </w:p>
          <w:p w14:paraId="5EB5F045" w14:textId="77777777" w:rsidR="00CC27BB" w:rsidRDefault="00CC27BB" w:rsidP="002800A0"/>
        </w:tc>
      </w:tr>
    </w:tbl>
    <w:p w14:paraId="268B4A80" w14:textId="77777777" w:rsidR="00CC27BB" w:rsidRDefault="00CC27BB" w:rsidP="00CC27BB">
      <w:pPr>
        <w:rPr>
          <w:sz w:val="28"/>
        </w:rPr>
      </w:pPr>
    </w:p>
    <w:p w14:paraId="48B5E64B" w14:textId="77777777" w:rsidR="00CC27BB" w:rsidRDefault="00CC27BB" w:rsidP="00CC27BB">
      <w:pPr>
        <w:rPr>
          <w:sz w:val="28"/>
        </w:rPr>
      </w:pPr>
    </w:p>
    <w:p w14:paraId="0550A444" w14:textId="77777777" w:rsidR="00CC27BB" w:rsidRDefault="00CC27BB" w:rsidP="00CC27BB">
      <w:pPr>
        <w:rPr>
          <w:sz w:val="28"/>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5"/>
      </w:tblGrid>
      <w:tr w:rsidR="00CC27BB" w14:paraId="46978DC4" w14:textId="77777777" w:rsidTr="002800A0">
        <w:trPr>
          <w:trHeight w:val="2509"/>
        </w:trPr>
        <w:tc>
          <w:tcPr>
            <w:tcW w:w="14835" w:type="dxa"/>
          </w:tcPr>
          <w:p w14:paraId="01BA7017" w14:textId="77777777" w:rsidR="00CC27BB" w:rsidRDefault="00CC27BB" w:rsidP="002800A0">
            <w:pPr>
              <w:rPr>
                <w:b/>
                <w:bCs/>
                <w:sz w:val="28"/>
              </w:rPr>
            </w:pPr>
            <w:r>
              <w:rPr>
                <w:b/>
                <w:bCs/>
                <w:sz w:val="28"/>
              </w:rPr>
              <w:t>Additional comments:</w:t>
            </w:r>
          </w:p>
          <w:p w14:paraId="686ADC59" w14:textId="77777777" w:rsidR="00CC27BB" w:rsidRDefault="00CC27BB" w:rsidP="002800A0"/>
          <w:p w14:paraId="669432CD" w14:textId="0D806C7D" w:rsidR="00CC27BB" w:rsidRDefault="00CC27BB" w:rsidP="002800A0">
            <w:r>
              <w:t xml:space="preserve">There can be quite an incubation period for this reaction. </w:t>
            </w:r>
            <w:r w:rsidR="005F7A3A" w:rsidRPr="001B2D66">
              <w:t xml:space="preserve">If nothing happens </w:t>
            </w:r>
            <w:r w:rsidR="001B2D66" w:rsidRPr="001B2D66">
              <w:t>leave to one side with the fermentation lock still in</w:t>
            </w:r>
            <w:r w:rsidR="001B2D66">
              <w:t xml:space="preserve"> and dispose of it later in a fume cupboard.</w:t>
            </w:r>
          </w:p>
          <w:p w14:paraId="5E6DC59A" w14:textId="77777777" w:rsidR="00CC27BB" w:rsidRDefault="00CC27BB" w:rsidP="002800A0"/>
          <w:p w14:paraId="34428AB3" w14:textId="77777777" w:rsidR="00CC27BB" w:rsidRDefault="00CC27BB" w:rsidP="002800A0">
            <w:r>
              <w:t>Disposal</w:t>
            </w:r>
            <w:bookmarkStart w:id="0" w:name="_GoBack"/>
            <w:bookmarkEnd w:id="0"/>
          </w:p>
          <w:p w14:paraId="77CFC220" w14:textId="77777777" w:rsidR="00CC27BB" w:rsidRDefault="00CC27BB" w:rsidP="002800A0"/>
          <w:p w14:paraId="7857424D" w14:textId="77777777" w:rsidR="00CC27BB" w:rsidRDefault="00CC27BB" w:rsidP="002800A0">
            <w:r>
              <w:t>Add the aluminium iodide a bit at a time to 1M sodium carbonate solution, allowing time for the reaction to subside each time before adding more. The resulting mixture can be washed to waste with large quantities if water.</w:t>
            </w:r>
          </w:p>
        </w:tc>
      </w:tr>
    </w:tbl>
    <w:p w14:paraId="3F26738B" w14:textId="77777777" w:rsidR="00CC27BB" w:rsidRDefault="00CC27BB" w:rsidP="00CC27BB">
      <w:pPr>
        <w:rPr>
          <w:sz w:val="28"/>
        </w:rPr>
      </w:pPr>
    </w:p>
    <w:p w14:paraId="412B5F15" w14:textId="77777777" w:rsidR="00185440" w:rsidRDefault="001B2D66"/>
    <w:sectPr w:rsidR="00185440" w:rsidSect="00817893">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FCA31" w14:textId="77777777" w:rsidR="00000000" w:rsidRDefault="001B2D66">
      <w:r>
        <w:separator/>
      </w:r>
    </w:p>
  </w:endnote>
  <w:endnote w:type="continuationSeparator" w:id="0">
    <w:p w14:paraId="0EF51458" w14:textId="77777777" w:rsidR="00000000" w:rsidRDefault="001B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48EC" w14:textId="77777777" w:rsidR="00ED375A" w:rsidRDefault="001B2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A393" w14:textId="77777777" w:rsidR="00ED375A" w:rsidRDefault="00CC27BB" w:rsidP="00CB5779">
    <w:pPr>
      <w:pStyle w:val="Footer"/>
      <w:tabs>
        <w:tab w:val="clear" w:pos="4153"/>
        <w:tab w:val="clear" w:pos="8306"/>
        <w:tab w:val="center" w:pos="6663"/>
        <w:tab w:val="right" w:pos="14175"/>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SSERC Risk Assessment Form</w:t>
    </w:r>
    <w:r>
      <w:rPr>
        <w:rStyle w:val="PageNumber"/>
      </w:rPr>
      <w:tab/>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3B98" w14:textId="77777777" w:rsidR="00ED375A" w:rsidRDefault="001B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C6795" w14:textId="77777777" w:rsidR="00000000" w:rsidRDefault="001B2D66">
      <w:r>
        <w:separator/>
      </w:r>
    </w:p>
  </w:footnote>
  <w:footnote w:type="continuationSeparator" w:id="0">
    <w:p w14:paraId="1E5CA6E6" w14:textId="77777777" w:rsidR="00000000" w:rsidRDefault="001B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25A0" w14:textId="77777777" w:rsidR="00ED375A" w:rsidRDefault="001B2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8B79" w14:textId="77777777" w:rsidR="00ED375A" w:rsidRDefault="001B2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C5B5" w14:textId="77777777" w:rsidR="00ED375A" w:rsidRDefault="001B2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B"/>
    <w:rsid w:val="000147A5"/>
    <w:rsid w:val="000A0FE9"/>
    <w:rsid w:val="001B2D66"/>
    <w:rsid w:val="001D1C70"/>
    <w:rsid w:val="001D350D"/>
    <w:rsid w:val="001E23B0"/>
    <w:rsid w:val="00204B30"/>
    <w:rsid w:val="00393E7C"/>
    <w:rsid w:val="003F3EA1"/>
    <w:rsid w:val="005F7A3A"/>
    <w:rsid w:val="00653540"/>
    <w:rsid w:val="006E27A3"/>
    <w:rsid w:val="007125CA"/>
    <w:rsid w:val="009601EF"/>
    <w:rsid w:val="009F3010"/>
    <w:rsid w:val="00A21BFF"/>
    <w:rsid w:val="00B7769A"/>
    <w:rsid w:val="00BA3643"/>
    <w:rsid w:val="00C15600"/>
    <w:rsid w:val="00CC27BB"/>
    <w:rsid w:val="00D24C31"/>
    <w:rsid w:val="00D319A1"/>
    <w:rsid w:val="00D67349"/>
    <w:rsid w:val="00E82E1C"/>
    <w:rsid w:val="00EB7C10"/>
    <w:rsid w:val="00ED77E0"/>
    <w:rsid w:val="00F31A31"/>
    <w:rsid w:val="00F64515"/>
    <w:rsid w:val="00FC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ADC3"/>
  <w15:chartTrackingRefBased/>
  <w15:docId w15:val="{E0765CDE-A185-4732-B81D-037CE9F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BB"/>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CC27BB"/>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CC27BB"/>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CC27BB"/>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CC27BB"/>
    <w:rPr>
      <w:rFonts w:ascii="Tahoma" w:eastAsia="Times New Roman" w:hAnsi="Tahoma" w:cs="Times New Roman"/>
      <w:i/>
      <w:iCs/>
      <w:sz w:val="20"/>
      <w:szCs w:val="20"/>
      <w:lang w:val="en-US"/>
    </w:rPr>
  </w:style>
  <w:style w:type="character" w:styleId="Hyperlink">
    <w:name w:val="Hyperlink"/>
    <w:basedOn w:val="DefaultParagraphFont"/>
    <w:semiHidden/>
    <w:rsid w:val="00CC27BB"/>
    <w:rPr>
      <w:color w:val="0000FF"/>
      <w:u w:val="single"/>
    </w:rPr>
  </w:style>
  <w:style w:type="paragraph" w:styleId="Salutation">
    <w:name w:val="Salutation"/>
    <w:basedOn w:val="Normal"/>
    <w:next w:val="Normal"/>
    <w:link w:val="SalutationChar"/>
    <w:semiHidden/>
    <w:rsid w:val="00CC27BB"/>
  </w:style>
  <w:style w:type="character" w:customStyle="1" w:styleId="SalutationChar">
    <w:name w:val="Salutation Char"/>
    <w:basedOn w:val="DefaultParagraphFont"/>
    <w:link w:val="Salutation"/>
    <w:semiHidden/>
    <w:rsid w:val="00CC27BB"/>
    <w:rPr>
      <w:rFonts w:ascii="Tahoma" w:eastAsia="Times New Roman" w:hAnsi="Tahoma" w:cs="Times New Roman"/>
      <w:sz w:val="20"/>
      <w:szCs w:val="20"/>
      <w:lang w:val="en-US"/>
    </w:rPr>
  </w:style>
  <w:style w:type="paragraph" w:styleId="Header">
    <w:name w:val="header"/>
    <w:basedOn w:val="Normal"/>
    <w:link w:val="HeaderChar"/>
    <w:semiHidden/>
    <w:rsid w:val="00CC27BB"/>
    <w:pPr>
      <w:tabs>
        <w:tab w:val="center" w:pos="4153"/>
        <w:tab w:val="right" w:pos="8306"/>
      </w:tabs>
    </w:pPr>
  </w:style>
  <w:style w:type="character" w:customStyle="1" w:styleId="HeaderChar">
    <w:name w:val="Header Char"/>
    <w:basedOn w:val="DefaultParagraphFont"/>
    <w:link w:val="Header"/>
    <w:semiHidden/>
    <w:rsid w:val="00CC27BB"/>
    <w:rPr>
      <w:rFonts w:ascii="Tahoma" w:eastAsia="Times New Roman" w:hAnsi="Tahoma" w:cs="Times New Roman"/>
      <w:sz w:val="20"/>
      <w:szCs w:val="20"/>
      <w:lang w:val="en-US"/>
    </w:rPr>
  </w:style>
  <w:style w:type="paragraph" w:styleId="Footer">
    <w:name w:val="footer"/>
    <w:basedOn w:val="Normal"/>
    <w:link w:val="FooterChar"/>
    <w:semiHidden/>
    <w:rsid w:val="00CC27BB"/>
    <w:pPr>
      <w:tabs>
        <w:tab w:val="center" w:pos="4153"/>
        <w:tab w:val="right" w:pos="8306"/>
      </w:tabs>
    </w:pPr>
  </w:style>
  <w:style w:type="character" w:customStyle="1" w:styleId="FooterChar">
    <w:name w:val="Footer Char"/>
    <w:basedOn w:val="DefaultParagraphFont"/>
    <w:link w:val="Footer"/>
    <w:semiHidden/>
    <w:rsid w:val="00CC27BB"/>
    <w:rPr>
      <w:rFonts w:ascii="Tahoma" w:eastAsia="Times New Roman" w:hAnsi="Tahoma" w:cs="Times New Roman"/>
      <w:sz w:val="20"/>
      <w:szCs w:val="20"/>
      <w:lang w:val="en-US"/>
    </w:rPr>
  </w:style>
  <w:style w:type="character" w:styleId="PageNumber">
    <w:name w:val="page number"/>
    <w:basedOn w:val="DefaultParagraphFont"/>
    <w:semiHidden/>
    <w:rsid w:val="00CC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ser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sserc.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serc.org.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nquiries@sser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48EF4-DE1F-4683-890D-80937D381747}">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2.xml><?xml version="1.0" encoding="utf-8"?>
<ds:datastoreItem xmlns:ds="http://schemas.openxmlformats.org/officeDocument/2006/customXml" ds:itemID="{70540996-9A8C-4C60-98E4-7FF7ADACEC82}">
  <ds:schemaRefs>
    <ds:schemaRef ds:uri="http://schemas.microsoft.com/sharepoint/v3/contenttype/forms"/>
  </ds:schemaRefs>
</ds:datastoreItem>
</file>

<file path=customXml/itemProps3.xml><?xml version="1.0" encoding="utf-8"?>
<ds:datastoreItem xmlns:ds="http://schemas.openxmlformats.org/officeDocument/2006/customXml" ds:itemID="{E7058AEE-907B-4CEA-8D2E-11F9E756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18</cp:revision>
  <dcterms:created xsi:type="dcterms:W3CDTF">2019-11-27T13:54:00Z</dcterms:created>
  <dcterms:modified xsi:type="dcterms:W3CDTF">2019-11-27T14:02:00Z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