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06" w:rsidRDefault="00AF29F2" w:rsidP="00B37706">
      <w:pPr>
        <w:rPr>
          <w:lang w:val="en-US"/>
        </w:rPr>
      </w:pPr>
      <w:r>
        <w:rPr>
          <w:noProof/>
          <w:lang w:eastAsia="en-GB"/>
        </w:rPr>
        <w:drawing>
          <wp:anchor distT="0" distB="0" distL="114300" distR="114300" simplePos="0" relativeHeight="251657728" behindDoc="1" locked="0" layoutInCell="1" allowOverlap="1">
            <wp:simplePos x="0" y="0"/>
            <wp:positionH relativeFrom="column">
              <wp:posOffset>-533040</wp:posOffset>
            </wp:positionH>
            <wp:positionV relativeFrom="paragraph">
              <wp:posOffset>-508959</wp:posOffset>
            </wp:positionV>
            <wp:extent cx="895350" cy="897147"/>
            <wp:effectExtent l="19050" t="0" r="0" b="0"/>
            <wp:wrapNone/>
            <wp:docPr id="2" name="Picture 1"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895350" cy="897147"/>
                    </a:xfrm>
                    <a:prstGeom prst="rect">
                      <a:avLst/>
                    </a:prstGeom>
                  </pic:spPr>
                </pic:pic>
              </a:graphicData>
            </a:graphic>
          </wp:anchor>
        </w:drawing>
      </w:r>
      <w:r w:rsidR="00341A75">
        <w:rPr>
          <w:lang w:val="en-US"/>
        </w:rPr>
        <w:t xml:space="preserve"> </w:t>
      </w:r>
    </w:p>
    <w:tbl>
      <w:tblPr>
        <w:tblpPr w:leftFromText="187" w:rightFromText="187" w:vertAnchor="page" w:horzAnchor="page" w:tblpX="6203" w:tblpY="5353"/>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791"/>
      </w:tblGrid>
      <w:tr w:rsidR="00B37706" w:rsidRPr="00946D46" w:rsidTr="00B37706">
        <w:tc>
          <w:tcPr>
            <w:tcW w:w="0" w:type="auto"/>
          </w:tcPr>
          <w:p w:rsidR="00B37706" w:rsidRPr="00946D46" w:rsidRDefault="00B37706" w:rsidP="00B37706">
            <w:pPr>
              <w:pStyle w:val="NoSpacing"/>
              <w:rPr>
                <w:sz w:val="72"/>
                <w:szCs w:val="72"/>
              </w:rPr>
            </w:pPr>
            <w:r w:rsidRPr="0067454A">
              <w:rPr>
                <w:sz w:val="72"/>
                <w:szCs w:val="72"/>
              </w:rPr>
              <w:t>Chemical Demonstrations</w:t>
            </w:r>
          </w:p>
        </w:tc>
      </w:tr>
      <w:tr w:rsidR="00B37706" w:rsidRPr="00946D46" w:rsidTr="00B37706">
        <w:trPr>
          <w:trHeight w:val="604"/>
        </w:trPr>
        <w:tc>
          <w:tcPr>
            <w:tcW w:w="0" w:type="auto"/>
          </w:tcPr>
          <w:p w:rsidR="00B37706" w:rsidRPr="00946D46" w:rsidRDefault="00B37706" w:rsidP="00B37706">
            <w:pPr>
              <w:pStyle w:val="NoSpacing"/>
              <w:rPr>
                <w:sz w:val="52"/>
                <w:szCs w:val="52"/>
              </w:rPr>
            </w:pPr>
            <w:r w:rsidRPr="00B37706">
              <w:rPr>
                <w:sz w:val="52"/>
                <w:szCs w:val="52"/>
              </w:rPr>
              <w:t>Alkali Metals in Water</w:t>
            </w:r>
          </w:p>
        </w:tc>
      </w:tr>
    </w:tbl>
    <w:p w:rsidR="00B37706" w:rsidRDefault="00360814" w:rsidP="00B37706">
      <w:pPr>
        <w:rPr>
          <w:rFonts w:eastAsiaTheme="majorEastAsia" w:cstheme="majorBidi"/>
          <w:spacing w:val="5"/>
          <w:kern w:val="28"/>
          <w:sz w:val="48"/>
          <w:szCs w:val="52"/>
          <w:lang w:val="en-US"/>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26.2pt;margin-top:464.55pt;width:395.25pt;height:185.2pt;z-index:-251657728;mso-position-horizontal-relative:text;mso-position-vertical-relative:text;mso-width-relative:margin;mso-height-relative:margin" wrapcoords="-90 -58 -90 21542 21690 21542 21690 -58 -90 -58">
            <v:textbox style="mso-next-textbox:#_x0000_s1026">
              <w:txbxContent>
                <w:p w:rsidR="005A63F5" w:rsidRDefault="005A63F5" w:rsidP="00B37706">
                  <w:pPr>
                    <w:rPr>
                      <w:sz w:val="28"/>
                      <w:szCs w:val="28"/>
                    </w:rPr>
                  </w:pPr>
                  <w:proofErr w:type="spellStart"/>
                  <w:r>
                    <w:rPr>
                      <w:sz w:val="28"/>
                      <w:szCs w:val="28"/>
                    </w:rPr>
                    <w:t>CfE</w:t>
                  </w:r>
                  <w:proofErr w:type="spellEnd"/>
                  <w:r>
                    <w:rPr>
                      <w:sz w:val="28"/>
                      <w:szCs w:val="28"/>
                    </w:rPr>
                    <w:t xml:space="preserve"> Level 3</w:t>
                  </w:r>
                </w:p>
                <w:p w:rsidR="005A63F5" w:rsidRPr="00E11815" w:rsidRDefault="005A63F5" w:rsidP="00B37706">
                  <w:pPr>
                    <w:rPr>
                      <w:sz w:val="28"/>
                      <w:szCs w:val="28"/>
                    </w:rPr>
                  </w:pPr>
                  <w:r w:rsidRPr="00E11815">
                    <w:rPr>
                      <w:sz w:val="28"/>
                      <w:szCs w:val="28"/>
                    </w:rPr>
                    <w:t>Through experimentation, I can identify indicators of chemical reactions having occurred. ...</w:t>
                  </w:r>
                </w:p>
                <w:p w:rsidR="005A63F5" w:rsidRDefault="005A63F5" w:rsidP="00B37706">
                  <w:pPr>
                    <w:jc w:val="right"/>
                    <w:rPr>
                      <w:rStyle w:val="PageNumber"/>
                      <w:rFonts w:ascii="Arial" w:hAnsi="Arial" w:cs="Arial"/>
                      <w:b/>
                      <w:color w:val="35A27D"/>
                    </w:rPr>
                  </w:pPr>
                  <w:r>
                    <w:rPr>
                      <w:rStyle w:val="PageNumber"/>
                      <w:rFonts w:ascii="Arial" w:hAnsi="Arial" w:cs="Arial"/>
                      <w:b/>
                      <w:color w:val="35A27D"/>
                    </w:rPr>
                    <w:t>SCN 3-19</w:t>
                  </w:r>
                </w:p>
                <w:p w:rsidR="005A63F5" w:rsidRDefault="005A63F5" w:rsidP="00B37706">
                  <w:pPr>
                    <w:pStyle w:val="Default"/>
                    <w:rPr>
                      <w:rFonts w:ascii="Times New Roman" w:hAnsi="Times New Roman"/>
                      <w:sz w:val="28"/>
                      <w:szCs w:val="28"/>
                    </w:rPr>
                  </w:pPr>
                  <w:r>
                    <w:rPr>
                      <w:rFonts w:ascii="Times New Roman" w:hAnsi="Times New Roman"/>
                      <w:sz w:val="28"/>
                      <w:szCs w:val="28"/>
                    </w:rPr>
                    <w:t>N4 Chemistry in Society</w:t>
                  </w:r>
                </w:p>
                <w:p w:rsidR="005A63F5" w:rsidRDefault="005A63F5" w:rsidP="00B37706">
                  <w:pPr>
                    <w:pStyle w:val="Default"/>
                    <w:ind w:firstLine="720"/>
                    <w:rPr>
                      <w:rFonts w:ascii="Times New Roman" w:hAnsi="Times New Roman"/>
                      <w:sz w:val="28"/>
                      <w:szCs w:val="28"/>
                    </w:rPr>
                  </w:pPr>
                  <w:r>
                    <w:rPr>
                      <w:rFonts w:ascii="Times New Roman" w:hAnsi="Times New Roman"/>
                      <w:sz w:val="28"/>
                      <w:szCs w:val="28"/>
                    </w:rPr>
                    <w:t>The Properties of Metals and Alloys</w:t>
                  </w:r>
                </w:p>
                <w:p w:rsidR="005A63F5" w:rsidRDefault="005A63F5" w:rsidP="00B37706">
                  <w:pPr>
                    <w:pStyle w:val="Default"/>
                    <w:ind w:firstLine="720"/>
                    <w:rPr>
                      <w:rFonts w:ascii="Times New Roman" w:hAnsi="Times New Roman"/>
                      <w:sz w:val="28"/>
                      <w:szCs w:val="28"/>
                    </w:rPr>
                  </w:pPr>
                  <w:r>
                    <w:rPr>
                      <w:rFonts w:ascii="Times New Roman" w:hAnsi="Times New Roman"/>
                      <w:sz w:val="28"/>
                      <w:szCs w:val="28"/>
                    </w:rPr>
                    <w:t xml:space="preserve"> </w:t>
                  </w:r>
                </w:p>
                <w:p w:rsidR="005A63F5" w:rsidRPr="00E46547" w:rsidRDefault="005A63F5" w:rsidP="00B37706">
                  <w:pPr>
                    <w:rPr>
                      <w:rFonts w:eastAsia="Calibri" w:cs="Arial"/>
                      <w:color w:val="000000"/>
                      <w:sz w:val="28"/>
                      <w:szCs w:val="28"/>
                    </w:rPr>
                  </w:pPr>
                </w:p>
                <w:p w:rsidR="005A63F5" w:rsidRPr="00E11815" w:rsidRDefault="005A63F5" w:rsidP="00B37706">
                  <w:pPr>
                    <w:jc w:val="right"/>
                    <w:rPr>
                      <w:rFonts w:ascii="Arial" w:hAnsi="Arial" w:cs="Arial"/>
                      <w:b/>
                      <w:color w:val="35A27D"/>
                    </w:rPr>
                  </w:pPr>
                </w:p>
              </w:txbxContent>
            </v:textbox>
            <w10:wrap type="tight"/>
          </v:shape>
        </w:pict>
      </w:r>
      <w:r w:rsidR="00B37706">
        <w:rPr>
          <w:noProof/>
          <w:lang w:eastAsia="en-GB"/>
        </w:rPr>
        <w:drawing>
          <wp:anchor distT="0" distB="0" distL="114300" distR="114300" simplePos="0" relativeHeight="251656704" behindDoc="0" locked="0" layoutInCell="1" allowOverlap="1">
            <wp:simplePos x="0" y="0"/>
            <wp:positionH relativeFrom="column">
              <wp:posOffset>-196850</wp:posOffset>
            </wp:positionH>
            <wp:positionV relativeFrom="paragraph">
              <wp:posOffset>2328545</wp:posOffset>
            </wp:positionV>
            <wp:extent cx="2833370" cy="2389505"/>
            <wp:effectExtent l="19050" t="0" r="5080" b="0"/>
            <wp:wrapSquare wrapText="bothSides"/>
            <wp:docPr id="1" name="il_fi" descr="http://www.mii.org/Minerals/Minpics1/Sodium%20Rich%20Plagiocl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i.org/Minerals/Minpics1/Sodium%20Rich%20Plagioclase.jpg"/>
                    <pic:cNvPicPr>
                      <a:picLocks noChangeAspect="1" noChangeArrowheads="1"/>
                    </pic:cNvPicPr>
                  </pic:nvPicPr>
                  <pic:blipFill>
                    <a:blip r:embed="rId6" cstate="print"/>
                    <a:srcRect/>
                    <a:stretch>
                      <a:fillRect/>
                    </a:stretch>
                  </pic:blipFill>
                  <pic:spPr bwMode="auto">
                    <a:xfrm>
                      <a:off x="0" y="0"/>
                      <a:ext cx="2833370" cy="2389505"/>
                    </a:xfrm>
                    <a:prstGeom prst="rect">
                      <a:avLst/>
                    </a:prstGeom>
                    <a:noFill/>
                    <a:ln w="9525">
                      <a:noFill/>
                      <a:miter lim="800000"/>
                      <a:headEnd/>
                      <a:tailEnd/>
                    </a:ln>
                  </pic:spPr>
                </pic:pic>
              </a:graphicData>
            </a:graphic>
          </wp:anchor>
        </w:drawing>
      </w:r>
      <w:r w:rsidR="00B37706">
        <w:rPr>
          <w:lang w:val="en-US"/>
        </w:rPr>
        <w:br w:type="page"/>
      </w:r>
    </w:p>
    <w:p w:rsidR="00B37706" w:rsidRPr="004857D7" w:rsidRDefault="004857D7" w:rsidP="00B37706">
      <w:pPr>
        <w:rPr>
          <w:rFonts w:eastAsiaTheme="majorEastAsia" w:cstheme="majorBidi"/>
          <w:spacing w:val="5"/>
          <w:kern w:val="28"/>
          <w:szCs w:val="24"/>
          <w:lang w:val="en-US"/>
        </w:rPr>
      </w:pPr>
      <w:r w:rsidRPr="004857D7">
        <w:rPr>
          <w:rFonts w:eastAsiaTheme="majorEastAsia" w:cstheme="majorBidi"/>
          <w:spacing w:val="5"/>
          <w:kern w:val="28"/>
          <w:szCs w:val="24"/>
          <w:lang w:val="en-US"/>
        </w:rPr>
        <w:lastRenderedPageBreak/>
        <w:t>This experiment can be carried out safely with sodium, potassium or lithium (or calcium)</w:t>
      </w:r>
    </w:p>
    <w:p w:rsidR="004857D7" w:rsidRPr="004857D7" w:rsidRDefault="004857D7" w:rsidP="004857D7">
      <w:pPr>
        <w:spacing w:after="120"/>
        <w:rPr>
          <w:b/>
          <w:szCs w:val="24"/>
          <w:lang w:val="en-US"/>
        </w:rPr>
      </w:pPr>
      <w:r w:rsidRPr="004857D7">
        <w:rPr>
          <w:b/>
          <w:szCs w:val="24"/>
          <w:lang w:val="en-US"/>
        </w:rPr>
        <w:t>You will need</w:t>
      </w:r>
    </w:p>
    <w:tbl>
      <w:tblPr>
        <w:tblStyle w:val="TableGrid"/>
        <w:tblW w:w="0" w:type="auto"/>
        <w:tblLook w:val="04A0" w:firstRow="1" w:lastRow="0" w:firstColumn="1" w:lastColumn="0" w:noHBand="0" w:noVBand="1"/>
      </w:tblPr>
      <w:tblGrid>
        <w:gridCol w:w="4621"/>
        <w:gridCol w:w="4621"/>
      </w:tblGrid>
      <w:tr w:rsidR="004857D7" w:rsidTr="004857D7">
        <w:tc>
          <w:tcPr>
            <w:tcW w:w="4621" w:type="dxa"/>
          </w:tcPr>
          <w:p w:rsidR="004857D7" w:rsidRDefault="004857D7" w:rsidP="004857D7">
            <w:pPr>
              <w:spacing w:after="120" w:line="276" w:lineRule="auto"/>
              <w:rPr>
                <w:szCs w:val="24"/>
                <w:lang w:val="en-US"/>
              </w:rPr>
            </w:pPr>
            <w:r>
              <w:rPr>
                <w:szCs w:val="24"/>
                <w:lang w:val="en-US"/>
              </w:rPr>
              <w:t>Tile</w:t>
            </w:r>
          </w:p>
        </w:tc>
        <w:tc>
          <w:tcPr>
            <w:tcW w:w="4621" w:type="dxa"/>
          </w:tcPr>
          <w:p w:rsidR="004857D7" w:rsidRDefault="004857D7" w:rsidP="004857D7">
            <w:pPr>
              <w:spacing w:after="120" w:line="276" w:lineRule="auto"/>
              <w:rPr>
                <w:szCs w:val="24"/>
                <w:lang w:val="en-US"/>
              </w:rPr>
            </w:pPr>
            <w:r>
              <w:rPr>
                <w:szCs w:val="24"/>
                <w:lang w:val="en-US"/>
              </w:rPr>
              <w:t>Scalpel</w:t>
            </w:r>
          </w:p>
        </w:tc>
      </w:tr>
      <w:tr w:rsidR="004857D7" w:rsidTr="004857D7">
        <w:tc>
          <w:tcPr>
            <w:tcW w:w="4621" w:type="dxa"/>
          </w:tcPr>
          <w:p w:rsidR="004857D7" w:rsidRDefault="004857D7" w:rsidP="004857D7">
            <w:pPr>
              <w:spacing w:after="120" w:line="276" w:lineRule="auto"/>
              <w:rPr>
                <w:szCs w:val="24"/>
                <w:lang w:val="en-US"/>
              </w:rPr>
            </w:pPr>
            <w:r>
              <w:rPr>
                <w:szCs w:val="24"/>
                <w:lang w:val="en-US"/>
              </w:rPr>
              <w:t>Bottles of alkali metals</w:t>
            </w:r>
          </w:p>
        </w:tc>
        <w:tc>
          <w:tcPr>
            <w:tcW w:w="4621" w:type="dxa"/>
          </w:tcPr>
          <w:p w:rsidR="004857D7" w:rsidRDefault="004857D7" w:rsidP="004857D7">
            <w:pPr>
              <w:spacing w:after="120" w:line="276" w:lineRule="auto"/>
              <w:rPr>
                <w:szCs w:val="24"/>
                <w:lang w:val="en-US"/>
              </w:rPr>
            </w:pPr>
            <w:r>
              <w:rPr>
                <w:szCs w:val="24"/>
                <w:lang w:val="en-US"/>
              </w:rPr>
              <w:t>Tweezers or tongs</w:t>
            </w:r>
          </w:p>
        </w:tc>
      </w:tr>
      <w:tr w:rsidR="004857D7" w:rsidTr="004857D7">
        <w:tc>
          <w:tcPr>
            <w:tcW w:w="4621" w:type="dxa"/>
          </w:tcPr>
          <w:p w:rsidR="004857D7" w:rsidRDefault="004857D7" w:rsidP="004857D7">
            <w:pPr>
              <w:spacing w:after="120" w:line="276" w:lineRule="auto"/>
              <w:rPr>
                <w:szCs w:val="24"/>
                <w:lang w:val="en-US"/>
              </w:rPr>
            </w:pPr>
            <w:r>
              <w:rPr>
                <w:szCs w:val="24"/>
                <w:lang w:val="en-US"/>
              </w:rPr>
              <w:t>Container of cold water</w:t>
            </w:r>
          </w:p>
        </w:tc>
        <w:tc>
          <w:tcPr>
            <w:tcW w:w="4621" w:type="dxa"/>
          </w:tcPr>
          <w:p w:rsidR="004857D7" w:rsidRDefault="004857D7" w:rsidP="004857D7">
            <w:pPr>
              <w:spacing w:after="120" w:line="276" w:lineRule="auto"/>
              <w:rPr>
                <w:szCs w:val="24"/>
                <w:lang w:val="en-US"/>
              </w:rPr>
            </w:pPr>
            <w:r>
              <w:rPr>
                <w:szCs w:val="24"/>
                <w:lang w:val="en-US"/>
              </w:rPr>
              <w:t>Safety screens</w:t>
            </w:r>
          </w:p>
        </w:tc>
      </w:tr>
      <w:tr w:rsidR="004857D7" w:rsidTr="004857D7">
        <w:tc>
          <w:tcPr>
            <w:tcW w:w="4621" w:type="dxa"/>
          </w:tcPr>
          <w:p w:rsidR="004857D7" w:rsidRDefault="004857D7" w:rsidP="004857D7">
            <w:pPr>
              <w:spacing w:after="120" w:line="276" w:lineRule="auto"/>
              <w:rPr>
                <w:szCs w:val="24"/>
                <w:lang w:val="en-US"/>
              </w:rPr>
            </w:pPr>
            <w:r>
              <w:rPr>
                <w:szCs w:val="24"/>
                <w:lang w:val="en-US"/>
              </w:rPr>
              <w:t>Paper towel</w:t>
            </w:r>
          </w:p>
        </w:tc>
        <w:tc>
          <w:tcPr>
            <w:tcW w:w="4621" w:type="dxa"/>
          </w:tcPr>
          <w:p w:rsidR="004857D7" w:rsidRDefault="005A63F5" w:rsidP="004857D7">
            <w:pPr>
              <w:spacing w:after="120" w:line="276" w:lineRule="auto"/>
              <w:rPr>
                <w:szCs w:val="24"/>
                <w:lang w:val="en-US"/>
              </w:rPr>
            </w:pPr>
            <w:r>
              <w:rPr>
                <w:szCs w:val="24"/>
                <w:lang w:val="en-US"/>
              </w:rPr>
              <w:t>Phenolphthalein or other indicator (optional)</w:t>
            </w:r>
          </w:p>
        </w:tc>
      </w:tr>
    </w:tbl>
    <w:p w:rsidR="004857D7" w:rsidRDefault="004857D7" w:rsidP="004857D7">
      <w:pPr>
        <w:spacing w:after="120"/>
        <w:rPr>
          <w:szCs w:val="24"/>
          <w:lang w:val="en-US"/>
        </w:rPr>
      </w:pPr>
    </w:p>
    <w:p w:rsidR="004857D7" w:rsidRPr="004857D7" w:rsidRDefault="004857D7" w:rsidP="004857D7">
      <w:pPr>
        <w:spacing w:after="120"/>
        <w:rPr>
          <w:b/>
          <w:szCs w:val="24"/>
          <w:lang w:val="en-US"/>
        </w:rPr>
      </w:pPr>
      <w:r w:rsidRPr="004857D7">
        <w:rPr>
          <w:b/>
          <w:szCs w:val="24"/>
          <w:lang w:val="en-US"/>
        </w:rPr>
        <w:t>Preparation</w:t>
      </w:r>
      <w:bookmarkStart w:id="0" w:name="_GoBack"/>
      <w:bookmarkEnd w:id="0"/>
    </w:p>
    <w:p w:rsidR="00341A75" w:rsidRPr="004857D7" w:rsidRDefault="00341A75" w:rsidP="004857D7">
      <w:pPr>
        <w:pStyle w:val="ListParagraph"/>
        <w:numPr>
          <w:ilvl w:val="0"/>
          <w:numId w:val="3"/>
        </w:numPr>
        <w:spacing w:after="120"/>
        <w:rPr>
          <w:szCs w:val="24"/>
          <w:lang w:val="en-US"/>
        </w:rPr>
      </w:pPr>
      <w:r w:rsidRPr="004857D7">
        <w:rPr>
          <w:szCs w:val="24"/>
          <w:lang w:val="en-US"/>
        </w:rPr>
        <w:t>Wear goggles (BS EN 166 3)</w:t>
      </w:r>
      <w:r w:rsidR="004857D7">
        <w:rPr>
          <w:szCs w:val="24"/>
          <w:lang w:val="en-US"/>
        </w:rPr>
        <w:t xml:space="preserve"> and gloves</w:t>
      </w:r>
      <w:r w:rsidRPr="004857D7">
        <w:rPr>
          <w:szCs w:val="24"/>
          <w:lang w:val="en-US"/>
        </w:rPr>
        <w:t xml:space="preserve"> and ensure all apparatus, i.e. tongs, spatula, tile etc are dry. </w:t>
      </w:r>
    </w:p>
    <w:p w:rsidR="00341A75" w:rsidRPr="004857D7" w:rsidRDefault="00341A75" w:rsidP="004857D7">
      <w:pPr>
        <w:pStyle w:val="ListParagraph"/>
        <w:numPr>
          <w:ilvl w:val="0"/>
          <w:numId w:val="3"/>
        </w:numPr>
        <w:spacing w:after="120"/>
        <w:rPr>
          <w:szCs w:val="24"/>
          <w:lang w:val="en-US"/>
        </w:rPr>
      </w:pPr>
      <w:r w:rsidRPr="004857D7">
        <w:rPr>
          <w:szCs w:val="24"/>
          <w:lang w:val="en-US"/>
        </w:rPr>
        <w:t>Use two safety screens. (to protect students and teacher/technician) Place the safety screen as close to the trough as possible to avoid pieces flying out over the class. The behaviour of the sodium is very unpredictable and it may explode and eject particles. In place of safety screens, an acrylic sheet can be placed on top of the trough.</w:t>
      </w:r>
    </w:p>
    <w:p w:rsidR="00341A75" w:rsidRPr="004857D7" w:rsidRDefault="00341A75" w:rsidP="004857D7">
      <w:pPr>
        <w:pStyle w:val="ListParagraph"/>
        <w:numPr>
          <w:ilvl w:val="0"/>
          <w:numId w:val="3"/>
        </w:numPr>
        <w:spacing w:after="120"/>
        <w:rPr>
          <w:szCs w:val="24"/>
          <w:lang w:val="en-US"/>
        </w:rPr>
      </w:pPr>
      <w:r w:rsidRPr="004857D7">
        <w:rPr>
          <w:szCs w:val="24"/>
          <w:lang w:val="en-US"/>
        </w:rPr>
        <w:t xml:space="preserve">Students should be 3 m away from the front screen. </w:t>
      </w:r>
    </w:p>
    <w:p w:rsidR="004857D7" w:rsidRPr="004857D7" w:rsidRDefault="004857D7" w:rsidP="004857D7">
      <w:pPr>
        <w:spacing w:after="120"/>
        <w:rPr>
          <w:b/>
          <w:szCs w:val="24"/>
          <w:lang w:val="en-US"/>
        </w:rPr>
      </w:pPr>
      <w:r w:rsidRPr="004857D7">
        <w:rPr>
          <w:b/>
          <w:szCs w:val="24"/>
          <w:lang w:val="en-US"/>
        </w:rPr>
        <w:t>The demonstration</w:t>
      </w:r>
    </w:p>
    <w:p w:rsidR="00341A75" w:rsidRPr="00341A75" w:rsidRDefault="00341A75" w:rsidP="005A63F5">
      <w:pPr>
        <w:pStyle w:val="ListParagraph"/>
        <w:numPr>
          <w:ilvl w:val="0"/>
          <w:numId w:val="3"/>
        </w:numPr>
        <w:spacing w:after="120"/>
        <w:rPr>
          <w:szCs w:val="24"/>
          <w:lang w:val="en-US"/>
        </w:rPr>
      </w:pPr>
      <w:r w:rsidRPr="00341A75">
        <w:rPr>
          <w:szCs w:val="24"/>
          <w:lang w:val="en-US"/>
        </w:rPr>
        <w:t>Using tongs or spatula(e) lift out a lump of sodium and place on a white tile. Replace the lid on the sodium jar immediately. Cut the required number of pieces. Return the lump from which the small pieces were cut to the sodium jar immediately and replace the lid again. (Do not return small scraps). Remove the oil with tissues.</w:t>
      </w:r>
    </w:p>
    <w:p w:rsidR="00341A75" w:rsidRPr="00341A75" w:rsidRDefault="00341A75" w:rsidP="005A63F5">
      <w:pPr>
        <w:pStyle w:val="ListParagraph"/>
        <w:numPr>
          <w:ilvl w:val="0"/>
          <w:numId w:val="3"/>
        </w:numPr>
        <w:spacing w:after="120"/>
        <w:rPr>
          <w:szCs w:val="24"/>
          <w:lang w:val="en-US"/>
        </w:rPr>
      </w:pPr>
      <w:r w:rsidRPr="00341A75">
        <w:rPr>
          <w:szCs w:val="24"/>
          <w:lang w:val="en-US"/>
        </w:rPr>
        <w:t>To cut the pieces, the teacher or technician, wearing eye protection and rubber or plastic gloves, should cut off small bits, about 0.1 g (approximately 2/3 mm), just before use. Use a scalpel or knife to cut the metal holding in place with tongs.</w:t>
      </w:r>
    </w:p>
    <w:p w:rsidR="00341A75" w:rsidRPr="00341A75" w:rsidRDefault="004857D7" w:rsidP="005A63F5">
      <w:pPr>
        <w:pStyle w:val="ListParagraph"/>
        <w:numPr>
          <w:ilvl w:val="0"/>
          <w:numId w:val="3"/>
        </w:numPr>
        <w:spacing w:after="120"/>
        <w:rPr>
          <w:szCs w:val="24"/>
          <w:lang w:val="en-US"/>
        </w:rPr>
      </w:pPr>
      <w:r w:rsidRPr="00341A75">
        <w:rPr>
          <w:szCs w:val="24"/>
          <w:lang w:val="en-US"/>
        </w:rPr>
        <w:t xml:space="preserve">Chill the water first with few ice cubes </w:t>
      </w:r>
      <w:r w:rsidR="00341A75" w:rsidRPr="00341A75">
        <w:rPr>
          <w:szCs w:val="24"/>
          <w:lang w:val="en-US"/>
        </w:rPr>
        <w:t xml:space="preserve">place a small piece of sodium (2 or 3 mm on each side) on the surface. </w:t>
      </w:r>
    </w:p>
    <w:p w:rsidR="00341A75" w:rsidRPr="00341A75" w:rsidRDefault="00341A75" w:rsidP="005A63F5">
      <w:pPr>
        <w:pStyle w:val="ListParagraph"/>
        <w:numPr>
          <w:ilvl w:val="0"/>
          <w:numId w:val="3"/>
        </w:numPr>
        <w:spacing w:after="120"/>
        <w:rPr>
          <w:szCs w:val="24"/>
          <w:lang w:val="en-US"/>
        </w:rPr>
      </w:pPr>
      <w:r w:rsidRPr="00341A75">
        <w:rPr>
          <w:szCs w:val="24"/>
          <w:lang w:val="en-US"/>
        </w:rPr>
        <w:t>Do not restrain its movement - allow it to roam freely on a large surface of water.</w:t>
      </w:r>
    </w:p>
    <w:p w:rsidR="00341A75" w:rsidRPr="00341A75" w:rsidRDefault="00341A75" w:rsidP="005A63F5">
      <w:pPr>
        <w:pStyle w:val="ListParagraph"/>
        <w:numPr>
          <w:ilvl w:val="0"/>
          <w:numId w:val="3"/>
        </w:numPr>
        <w:spacing w:after="120"/>
        <w:rPr>
          <w:szCs w:val="24"/>
          <w:lang w:val="en-US"/>
        </w:rPr>
      </w:pPr>
      <w:r w:rsidRPr="00341A75">
        <w:rPr>
          <w:szCs w:val="24"/>
          <w:lang w:val="en-US"/>
        </w:rPr>
        <w:t xml:space="preserve">The resulting solution of sodium hydroxide is CORROSIVE; dispose of it carefully, greatly diluting with water. </w:t>
      </w:r>
    </w:p>
    <w:p w:rsidR="00341A75" w:rsidRDefault="00341A75" w:rsidP="005A63F5">
      <w:pPr>
        <w:pStyle w:val="ListParagraph"/>
        <w:numPr>
          <w:ilvl w:val="0"/>
          <w:numId w:val="3"/>
        </w:numPr>
        <w:spacing w:after="120"/>
        <w:rPr>
          <w:szCs w:val="24"/>
          <w:lang w:val="en-US"/>
        </w:rPr>
      </w:pPr>
      <w:r w:rsidRPr="00341A75">
        <w:rPr>
          <w:szCs w:val="24"/>
          <w:lang w:val="en-US"/>
        </w:rPr>
        <w:t>Clear the mortar and spatula(e) from all small bits by placing under a large volume of water in a bucket.</w:t>
      </w:r>
    </w:p>
    <w:p w:rsidR="005A63F5" w:rsidRPr="005A63F5" w:rsidRDefault="005A63F5" w:rsidP="005A63F5">
      <w:pPr>
        <w:spacing w:after="120"/>
        <w:rPr>
          <w:szCs w:val="24"/>
          <w:lang w:val="en-US"/>
        </w:rPr>
      </w:pPr>
      <w:r>
        <w:rPr>
          <w:szCs w:val="24"/>
          <w:lang w:val="en-US"/>
        </w:rPr>
        <w:t>If you put some indicator solution in the water, as the demonstration proceeds, you will see it change colour due to the alkaline hydroxides being produced.</w:t>
      </w:r>
    </w:p>
    <w:p w:rsidR="0031157A" w:rsidRDefault="0031157A" w:rsidP="004857D7">
      <w:pPr>
        <w:spacing w:after="120"/>
        <w:rPr>
          <w:szCs w:val="24"/>
        </w:rPr>
      </w:pPr>
    </w:p>
    <w:p w:rsidR="004857D7" w:rsidRPr="005A63F5" w:rsidRDefault="004857D7" w:rsidP="004857D7">
      <w:pPr>
        <w:spacing w:after="120"/>
        <w:rPr>
          <w:b/>
          <w:szCs w:val="24"/>
        </w:rPr>
      </w:pPr>
      <w:r w:rsidRPr="005A63F5">
        <w:rPr>
          <w:b/>
          <w:szCs w:val="24"/>
        </w:rPr>
        <w:t>Comments</w:t>
      </w:r>
    </w:p>
    <w:p w:rsidR="004857D7" w:rsidRDefault="004857D7" w:rsidP="004857D7">
      <w:pPr>
        <w:spacing w:after="120"/>
        <w:rPr>
          <w:szCs w:val="24"/>
        </w:rPr>
      </w:pPr>
      <w:r>
        <w:rPr>
          <w:szCs w:val="24"/>
        </w:rPr>
        <w:t>Potassium will catch fire immediately and burn out rapidly with a lilac flame</w:t>
      </w:r>
    </w:p>
    <w:p w:rsidR="004857D7" w:rsidRDefault="004857D7" w:rsidP="004857D7">
      <w:pPr>
        <w:spacing w:after="120"/>
        <w:rPr>
          <w:szCs w:val="24"/>
        </w:rPr>
      </w:pPr>
      <w:r>
        <w:rPr>
          <w:szCs w:val="24"/>
        </w:rPr>
        <w:t>Lithium will float and fizz on the surface but no flame will appear.</w:t>
      </w:r>
    </w:p>
    <w:p w:rsidR="005A63F5" w:rsidRDefault="004857D7" w:rsidP="005A63F5">
      <w:pPr>
        <w:spacing w:after="120"/>
        <w:rPr>
          <w:szCs w:val="24"/>
        </w:rPr>
      </w:pPr>
      <w:r>
        <w:rPr>
          <w:szCs w:val="24"/>
        </w:rPr>
        <w:lastRenderedPageBreak/>
        <w:t>Sodium will fizz on the surface. Orange sparks will appear and it may catch fire. It is also possible that the sodium will explode.</w:t>
      </w:r>
      <w:r w:rsidR="005A63F5" w:rsidRPr="005A63F5">
        <w:rPr>
          <w:szCs w:val="24"/>
        </w:rPr>
        <w:t xml:space="preserve"> </w:t>
      </w:r>
    </w:p>
    <w:p w:rsidR="005A63F5" w:rsidRDefault="005A63F5" w:rsidP="005A63F5">
      <w:pPr>
        <w:spacing w:after="120"/>
        <w:rPr>
          <w:szCs w:val="24"/>
        </w:rPr>
      </w:pPr>
      <w:r>
        <w:rPr>
          <w:szCs w:val="24"/>
        </w:rPr>
        <w:t>An alternative method for sodium is to float a piece of filter paper on the surface of the water and place the sodium on top of this.  The sodium is more likely to actually burn this way and stays away from the edge of the glass.</w:t>
      </w:r>
    </w:p>
    <w:p w:rsidR="005A63F5" w:rsidRDefault="005A63F5" w:rsidP="004857D7">
      <w:pPr>
        <w:spacing w:after="120"/>
        <w:rPr>
          <w:szCs w:val="24"/>
        </w:rPr>
      </w:pPr>
      <w:r>
        <w:rPr>
          <w:szCs w:val="24"/>
        </w:rPr>
        <w:t>Calcium will sink to the bottom and then start to bubble – if you have some washing up liquid in the water, bubbles of hydrogen will appear on the surface which you can ignite with a pop to show it is hydrogen.</w:t>
      </w:r>
    </w:p>
    <w:p w:rsidR="005A63F5" w:rsidRDefault="005A63F5" w:rsidP="004857D7">
      <w:pPr>
        <w:spacing w:after="120"/>
        <w:rPr>
          <w:szCs w:val="24"/>
        </w:rPr>
      </w:pPr>
    </w:p>
    <w:p w:rsidR="005A63F5" w:rsidRPr="005A63F5" w:rsidRDefault="005A63F5" w:rsidP="004857D7">
      <w:pPr>
        <w:spacing w:after="120"/>
        <w:rPr>
          <w:b/>
          <w:szCs w:val="24"/>
        </w:rPr>
      </w:pPr>
      <w:r w:rsidRPr="005A63F5">
        <w:rPr>
          <w:b/>
          <w:szCs w:val="24"/>
        </w:rPr>
        <w:t>Health and Safety</w:t>
      </w:r>
    </w:p>
    <w:p w:rsidR="005A63F5" w:rsidRDefault="005A63F5" w:rsidP="004857D7">
      <w:pPr>
        <w:spacing w:after="120"/>
        <w:rPr>
          <w:szCs w:val="24"/>
        </w:rPr>
      </w:pPr>
      <w:r>
        <w:rPr>
          <w:szCs w:val="24"/>
        </w:rPr>
        <w:t>Do NOT use larger pieces of the metals than suggested.</w:t>
      </w:r>
    </w:p>
    <w:p w:rsidR="005A63F5" w:rsidRDefault="005A63F5" w:rsidP="004857D7">
      <w:pPr>
        <w:spacing w:after="120"/>
        <w:rPr>
          <w:szCs w:val="24"/>
        </w:rPr>
      </w:pPr>
      <w:r>
        <w:rPr>
          <w:szCs w:val="24"/>
        </w:rPr>
        <w:t>Carry out in a well-ventilated room as the fumes can be irritating if breathed in.</w:t>
      </w:r>
    </w:p>
    <w:p w:rsidR="005A63F5" w:rsidRPr="00570FC0" w:rsidRDefault="005A63F5" w:rsidP="004857D7">
      <w:pPr>
        <w:spacing w:after="120"/>
        <w:rPr>
          <w:szCs w:val="24"/>
        </w:rPr>
      </w:pPr>
    </w:p>
    <w:sectPr w:rsidR="005A63F5" w:rsidRPr="00570FC0" w:rsidSect="00B37706">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BC5531"/>
    <w:multiLevelType w:val="hybridMultilevel"/>
    <w:tmpl w:val="174E4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2"/>
  </w:compat>
  <w:rsids>
    <w:rsidRoot w:val="00341A75"/>
    <w:rsid w:val="000A461B"/>
    <w:rsid w:val="000F0B77"/>
    <w:rsid w:val="001420E1"/>
    <w:rsid w:val="001677C8"/>
    <w:rsid w:val="00271738"/>
    <w:rsid w:val="0031157A"/>
    <w:rsid w:val="00341A75"/>
    <w:rsid w:val="00360814"/>
    <w:rsid w:val="003C22F8"/>
    <w:rsid w:val="00407744"/>
    <w:rsid w:val="00462F40"/>
    <w:rsid w:val="004857D7"/>
    <w:rsid w:val="004952AF"/>
    <w:rsid w:val="00496520"/>
    <w:rsid w:val="00570FC0"/>
    <w:rsid w:val="005839B8"/>
    <w:rsid w:val="005A63F5"/>
    <w:rsid w:val="00605B3E"/>
    <w:rsid w:val="00832E71"/>
    <w:rsid w:val="009E7A07"/>
    <w:rsid w:val="00AF29F2"/>
    <w:rsid w:val="00B37706"/>
    <w:rsid w:val="00D1237B"/>
    <w:rsid w:val="00D8055D"/>
    <w:rsid w:val="00DD232E"/>
    <w:rsid w:val="00EC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CEBA7C"/>
  <w15:docId w15:val="{42BE432B-F7ED-46F1-A6C3-EB5FF7F3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basedOn w:val="DefaultParagraphFont"/>
    <w:link w:val="NoSpacing"/>
    <w:uiPriority w:val="1"/>
    <w:rsid w:val="00B37706"/>
    <w:rPr>
      <w:rFonts w:ascii="Times New Roman" w:hAnsi="Times New Roman"/>
      <w:sz w:val="24"/>
    </w:rPr>
  </w:style>
  <w:style w:type="character" w:styleId="PageNumber">
    <w:name w:val="page number"/>
    <w:basedOn w:val="DefaultParagraphFont"/>
    <w:rsid w:val="00B37706"/>
  </w:style>
  <w:style w:type="paragraph" w:customStyle="1" w:styleId="Default">
    <w:name w:val="Default"/>
    <w:rsid w:val="00B37706"/>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48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2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3</cp:revision>
  <cp:lastPrinted>2017-03-09T14:47:00Z</cp:lastPrinted>
  <dcterms:created xsi:type="dcterms:W3CDTF">2015-03-23T15:16:00Z</dcterms:created>
  <dcterms:modified xsi:type="dcterms:W3CDTF">2017-03-09T14:52:00Z</dcterms:modified>
</cp:coreProperties>
</file>