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4B" w:rsidRDefault="00496ACF" w:rsidP="00F935B5">
      <w:pPr>
        <w:rPr>
          <w:szCs w:val="24"/>
        </w:rPr>
      </w:pPr>
      <w:r w:rsidRPr="007F2966">
        <w:rPr>
          <w:noProof/>
          <w:szCs w:val="24"/>
          <w:lang w:eastAsia="en-GB"/>
        </w:rPr>
        <w:drawing>
          <wp:anchor distT="0" distB="0" distL="114300" distR="114300" simplePos="0" relativeHeight="251665408" behindDoc="0" locked="0" layoutInCell="1" allowOverlap="1">
            <wp:simplePos x="0" y="0"/>
            <wp:positionH relativeFrom="column">
              <wp:posOffset>2141148</wp:posOffset>
            </wp:positionH>
            <wp:positionV relativeFrom="paragraph">
              <wp:posOffset>-603849</wp:posOffset>
            </wp:positionV>
            <wp:extent cx="2187407" cy="828136"/>
            <wp:effectExtent l="19050" t="0" r="1905" b="0"/>
            <wp:wrapSquare wrapText="bothSides"/>
            <wp:docPr id="9" name="Picture 12" descr="SFDF_logo_2012_blue_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DF_logo_2012_blue_on_white.jpg"/>
                    <pic:cNvPicPr/>
                  </pic:nvPicPr>
                  <pic:blipFill>
                    <a:blip r:embed="rId6" cstate="print"/>
                    <a:stretch>
                      <a:fillRect/>
                    </a:stretch>
                  </pic:blipFill>
                  <pic:spPr>
                    <a:xfrm>
                      <a:off x="0" y="0"/>
                      <a:ext cx="2188845" cy="828040"/>
                    </a:xfrm>
                    <a:prstGeom prst="rect">
                      <a:avLst/>
                    </a:prstGeom>
                  </pic:spPr>
                </pic:pic>
              </a:graphicData>
            </a:graphic>
          </wp:anchor>
        </w:drawing>
      </w:r>
      <w:r w:rsidRPr="007F2966">
        <w:rPr>
          <w:noProof/>
          <w:szCs w:val="24"/>
          <w:lang w:eastAsia="en-GB"/>
        </w:rPr>
        <w:drawing>
          <wp:anchor distT="0" distB="0" distL="114300" distR="114300" simplePos="0" relativeHeight="251664384" behindDoc="0" locked="0" layoutInCell="1" allowOverlap="1">
            <wp:simplePos x="0" y="0"/>
            <wp:positionH relativeFrom="column">
              <wp:posOffset>-576173</wp:posOffset>
            </wp:positionH>
            <wp:positionV relativeFrom="paragraph">
              <wp:posOffset>-552091</wp:posOffset>
            </wp:positionV>
            <wp:extent cx="2132474" cy="655608"/>
            <wp:effectExtent l="19050" t="0" r="5080" b="0"/>
            <wp:wrapSquare wrapText="bothSides"/>
            <wp:docPr id="10" name="Picture 1" descr="Aber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tay.png"/>
                    <pic:cNvPicPr/>
                  </pic:nvPicPr>
                  <pic:blipFill>
                    <a:blip r:embed="rId7"/>
                    <a:stretch>
                      <a:fillRect/>
                    </a:stretch>
                  </pic:blipFill>
                  <pic:spPr>
                    <a:xfrm>
                      <a:off x="0" y="0"/>
                      <a:ext cx="2128520" cy="651510"/>
                    </a:xfrm>
                    <a:prstGeom prst="rect">
                      <a:avLst/>
                    </a:prstGeom>
                  </pic:spPr>
                </pic:pic>
              </a:graphicData>
            </a:graphic>
          </wp:anchor>
        </w:drawing>
      </w:r>
      <w:r w:rsidR="008D6B4B">
        <w:rPr>
          <w:noProof/>
          <w:szCs w:val="24"/>
          <w:lang w:eastAsia="en-GB"/>
        </w:rPr>
        <w:drawing>
          <wp:anchor distT="0" distB="0" distL="114300" distR="114300" simplePos="0" relativeHeight="251658240" behindDoc="0" locked="0" layoutInCell="1" allowOverlap="1">
            <wp:simplePos x="0" y="0"/>
            <wp:positionH relativeFrom="column">
              <wp:posOffset>5114925</wp:posOffset>
            </wp:positionH>
            <wp:positionV relativeFrom="paragraph">
              <wp:posOffset>-603885</wp:posOffset>
            </wp:positionV>
            <wp:extent cx="1163955" cy="1017905"/>
            <wp:effectExtent l="0" t="0" r="0" b="0"/>
            <wp:wrapSquare wrapText="bothSides"/>
            <wp:docPr id="6" name="Picture 5" descr="SSERC 5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 50logo.gif"/>
                    <pic:cNvPicPr/>
                  </pic:nvPicPr>
                  <pic:blipFill>
                    <a:blip r:embed="rId8" cstate="print"/>
                    <a:stretch>
                      <a:fillRect/>
                    </a:stretch>
                  </pic:blipFill>
                  <pic:spPr>
                    <a:xfrm>
                      <a:off x="0" y="0"/>
                      <a:ext cx="1163955" cy="1017905"/>
                    </a:xfrm>
                    <a:prstGeom prst="rect">
                      <a:avLst/>
                    </a:prstGeom>
                  </pic:spPr>
                </pic:pic>
              </a:graphicData>
            </a:graphic>
          </wp:anchor>
        </w:drawing>
      </w:r>
    </w:p>
    <w:p w:rsidR="008D6B4B" w:rsidRDefault="008D6B4B" w:rsidP="00F935B5">
      <w:pPr>
        <w:rPr>
          <w:szCs w:val="24"/>
        </w:rPr>
      </w:pPr>
    </w:p>
    <w:p w:rsidR="008D6B4B" w:rsidRDefault="008D6B4B" w:rsidP="00F935B5">
      <w:pPr>
        <w:rPr>
          <w:szCs w:val="24"/>
        </w:rPr>
      </w:pPr>
    </w:p>
    <w:p w:rsidR="008D6B4B" w:rsidRDefault="008D6B4B" w:rsidP="00F935B5">
      <w:pPr>
        <w:rPr>
          <w:szCs w:val="24"/>
        </w:rPr>
      </w:pPr>
    </w:p>
    <w:p w:rsidR="008D6B4B" w:rsidRDefault="008D6B4B" w:rsidP="00F935B5">
      <w:pPr>
        <w:rPr>
          <w:szCs w:val="24"/>
        </w:rPr>
      </w:pPr>
    </w:p>
    <w:p w:rsidR="008D6B4B" w:rsidRDefault="008D6B4B" w:rsidP="00F935B5">
      <w:pPr>
        <w:rPr>
          <w:szCs w:val="24"/>
        </w:rPr>
      </w:pPr>
    </w:p>
    <w:tbl>
      <w:tblPr>
        <w:tblpPr w:leftFromText="187" w:rightFromText="187" w:vertAnchor="page" w:horzAnchor="margin" w:tblpXSpec="right" w:tblpY="4987"/>
        <w:tblW w:w="2575" w:type="pct"/>
        <w:tblBorders>
          <w:top w:val="single" w:sz="36" w:space="0" w:color="31849B" w:themeColor="accent5" w:themeShade="BF"/>
          <w:bottom w:val="single" w:sz="36" w:space="0" w:color="31849B" w:themeColor="accent5" w:themeShade="BF"/>
          <w:insideH w:val="single" w:sz="36" w:space="0" w:color="31849B" w:themeColor="accent5" w:themeShade="BF"/>
          <w:insideV w:val="single" w:sz="36" w:space="0" w:color="7030A0"/>
        </w:tblBorders>
        <w:tblCellMar>
          <w:top w:w="360" w:type="dxa"/>
          <w:left w:w="115" w:type="dxa"/>
          <w:bottom w:w="360" w:type="dxa"/>
          <w:right w:w="115" w:type="dxa"/>
        </w:tblCellMar>
        <w:tblLook w:val="04A0"/>
      </w:tblPr>
      <w:tblGrid>
        <w:gridCol w:w="4767"/>
      </w:tblGrid>
      <w:tr w:rsidR="008D6B4B" w:rsidRPr="00B0170F" w:rsidTr="00A91F57">
        <w:tc>
          <w:tcPr>
            <w:tcW w:w="0" w:type="auto"/>
          </w:tcPr>
          <w:p w:rsidR="008D6B4B" w:rsidRPr="00B0170F" w:rsidRDefault="00D774BD" w:rsidP="00F935B5">
            <w:pPr>
              <w:rPr>
                <w:rFonts w:eastAsia="Calibri" w:cs="Times New Roman"/>
                <w:sz w:val="72"/>
                <w:szCs w:val="72"/>
              </w:rPr>
            </w:pPr>
            <w:r>
              <w:rPr>
                <w:sz w:val="72"/>
                <w:szCs w:val="72"/>
              </w:rPr>
              <w:t>Food Chemistry</w:t>
            </w:r>
          </w:p>
        </w:tc>
      </w:tr>
      <w:tr w:rsidR="008D6B4B" w:rsidRPr="00B0170F" w:rsidTr="00A91F57">
        <w:trPr>
          <w:trHeight w:val="604"/>
        </w:trPr>
        <w:tc>
          <w:tcPr>
            <w:tcW w:w="0" w:type="auto"/>
          </w:tcPr>
          <w:p w:rsidR="008D6B4B" w:rsidRPr="00B0170F" w:rsidRDefault="00F131CE" w:rsidP="00F935B5">
            <w:pPr>
              <w:rPr>
                <w:rFonts w:eastAsia="Calibri" w:cs="Times New Roman"/>
                <w:sz w:val="52"/>
                <w:szCs w:val="52"/>
              </w:rPr>
            </w:pPr>
            <w:r>
              <w:rPr>
                <w:sz w:val="52"/>
                <w:szCs w:val="52"/>
              </w:rPr>
              <w:t>Oxidative Rancidity</w:t>
            </w:r>
          </w:p>
        </w:tc>
      </w:tr>
    </w:tbl>
    <w:p w:rsidR="008D6B4B" w:rsidRDefault="00611387" w:rsidP="00F935B5">
      <w:pPr>
        <w:rPr>
          <w:szCs w:val="24"/>
        </w:rPr>
      </w:pPr>
      <w:r>
        <w:rPr>
          <w:noProof/>
          <w:szCs w:val="24"/>
          <w:lang w:eastAsia="en-GB"/>
        </w:rPr>
        <w:drawing>
          <wp:anchor distT="0" distB="0" distL="114300" distR="114300" simplePos="0" relativeHeight="251659264" behindDoc="0" locked="0" layoutInCell="1" allowOverlap="1">
            <wp:simplePos x="0" y="0"/>
            <wp:positionH relativeFrom="column">
              <wp:posOffset>-447040</wp:posOffset>
            </wp:positionH>
            <wp:positionV relativeFrom="paragraph">
              <wp:posOffset>495935</wp:posOffset>
            </wp:positionV>
            <wp:extent cx="3084195" cy="2544445"/>
            <wp:effectExtent l="19050" t="0" r="1905" b="0"/>
            <wp:wrapSquare wrapText="bothSides"/>
            <wp:docPr id="3" name="Picture 1" descr="http://commonsensehome.com/wp-content/uploads/2009/09/harvest-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onsensehome.com/wp-content/uploads/2009/09/harvest-079.jpg"/>
                    <pic:cNvPicPr>
                      <a:picLocks noChangeAspect="1" noChangeArrowheads="1"/>
                    </pic:cNvPicPr>
                  </pic:nvPicPr>
                  <pic:blipFill>
                    <a:blip r:embed="rId9" cstate="print"/>
                    <a:srcRect/>
                    <a:stretch>
                      <a:fillRect/>
                    </a:stretch>
                  </pic:blipFill>
                  <pic:spPr bwMode="auto">
                    <a:xfrm>
                      <a:off x="0" y="0"/>
                      <a:ext cx="3084195" cy="2544445"/>
                    </a:xfrm>
                    <a:prstGeom prst="rect">
                      <a:avLst/>
                    </a:prstGeom>
                    <a:noFill/>
                    <a:ln w="9525">
                      <a:noFill/>
                      <a:miter lim="800000"/>
                      <a:headEnd/>
                      <a:tailEnd/>
                    </a:ln>
                  </pic:spPr>
                </pic:pic>
              </a:graphicData>
            </a:graphic>
          </wp:anchor>
        </w:drawing>
      </w:r>
    </w:p>
    <w:p w:rsidR="008D6B4B" w:rsidRDefault="008D6B4B" w:rsidP="00F935B5">
      <w:pPr>
        <w:rPr>
          <w:szCs w:val="24"/>
        </w:rPr>
      </w:pPr>
    </w:p>
    <w:p w:rsidR="008D6B4B" w:rsidRDefault="008D6B4B" w:rsidP="00F935B5">
      <w:pPr>
        <w:rPr>
          <w:szCs w:val="24"/>
        </w:rPr>
      </w:pPr>
    </w:p>
    <w:p w:rsidR="008D6B4B" w:rsidRDefault="008D6B4B" w:rsidP="00F935B5">
      <w:pPr>
        <w:rPr>
          <w:szCs w:val="24"/>
        </w:rPr>
      </w:pPr>
    </w:p>
    <w:p w:rsidR="008D6B4B" w:rsidRDefault="008D6B4B" w:rsidP="00F935B5">
      <w:pPr>
        <w:rPr>
          <w:szCs w:val="24"/>
        </w:rPr>
      </w:pPr>
    </w:p>
    <w:p w:rsidR="008D6B4B" w:rsidRDefault="00324B05" w:rsidP="00F935B5">
      <w:pPr>
        <w:rPr>
          <w:szCs w:val="24"/>
        </w:rPr>
      </w:pPr>
      <w:r>
        <w:rPr>
          <w:noProof/>
          <w:szCs w:val="24"/>
          <w:lang w:eastAsia="en-GB"/>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54.85pt;margin-top:47.75pt;width:170.5pt;height:62.05pt;z-index:251660288" adj="0" fillcolor="#31849b [2408]" stroked="f">
            <v:fill color2="#e36c0a [2409]" focus="100%" type="gradient"/>
            <v:shadow on="t" color="silver" opacity="52429f" offset="3pt,3pt"/>
            <v:textpath style="font-family:&quot;Times New Roman&quot;;v-text-kern:t" trim="t" fitpath="t" xscale="f" string="Pupil Guide"/>
            <w10:wrap type="square"/>
          </v:shape>
        </w:pict>
      </w:r>
      <w:r w:rsidR="000D3941">
        <w:rPr>
          <w:szCs w:val="24"/>
        </w:rPr>
        <w:br w:type="page"/>
      </w:r>
    </w:p>
    <w:p w:rsidR="007E694D" w:rsidRPr="007E694D" w:rsidRDefault="007E694D" w:rsidP="00F935B5">
      <w:pPr>
        <w:rPr>
          <w:b/>
        </w:rPr>
      </w:pPr>
      <w:r w:rsidRPr="007E694D">
        <w:rPr>
          <w:b/>
        </w:rPr>
        <w:lastRenderedPageBreak/>
        <w:t>Introduction</w:t>
      </w:r>
    </w:p>
    <w:p w:rsidR="006B74DC" w:rsidRDefault="00F131CE" w:rsidP="006B74DC">
      <w:pPr>
        <w:rPr>
          <w:rFonts w:cs="Times New Roman"/>
          <w:szCs w:val="24"/>
        </w:rPr>
      </w:pPr>
      <w:r w:rsidRPr="00F131CE">
        <w:rPr>
          <w:rFonts w:cs="Times New Roman"/>
          <w:szCs w:val="24"/>
        </w:rPr>
        <w:t>Because of their chemical structure, unsaturated fats and oils are sub</w:t>
      </w:r>
      <w:r>
        <w:rPr>
          <w:rFonts w:cs="Times New Roman"/>
          <w:szCs w:val="24"/>
        </w:rPr>
        <w:t xml:space="preserve">ject to oxidative breakdown, </w:t>
      </w:r>
      <w:r w:rsidRPr="00F131CE">
        <w:rPr>
          <w:rFonts w:cs="Times New Roman"/>
          <w:szCs w:val="24"/>
        </w:rPr>
        <w:t xml:space="preserve">called </w:t>
      </w:r>
      <w:r>
        <w:rPr>
          <w:rFonts w:cs="Times New Roman"/>
          <w:szCs w:val="24"/>
        </w:rPr>
        <w:t>‘</w:t>
      </w:r>
      <w:r w:rsidRPr="00F131CE">
        <w:rPr>
          <w:rFonts w:cs="Times New Roman"/>
          <w:szCs w:val="24"/>
        </w:rPr>
        <w:t>oxidative rancidity</w:t>
      </w:r>
      <w:r>
        <w:rPr>
          <w:rFonts w:cs="Times New Roman"/>
          <w:szCs w:val="24"/>
        </w:rPr>
        <w:t>’</w:t>
      </w:r>
      <w:r w:rsidRPr="00F131CE">
        <w:rPr>
          <w:rFonts w:cs="Times New Roman"/>
          <w:szCs w:val="24"/>
        </w:rPr>
        <w:t xml:space="preserve">.  This reaction is a free radical chain reaction that involves abstraction of </w:t>
      </w:r>
      <w:r>
        <w:rPr>
          <w:rFonts w:cs="Times New Roman"/>
          <w:szCs w:val="24"/>
        </w:rPr>
        <w:t>a</w:t>
      </w:r>
      <w:r w:rsidRPr="00F131CE">
        <w:rPr>
          <w:rFonts w:cs="Times New Roman"/>
          <w:szCs w:val="24"/>
        </w:rPr>
        <w:t xml:space="preserve"> hydrogen from the fatty acid chain followed by a series of reaction with oxygen, rearrangements, and chain cleavage to produce </w:t>
      </w:r>
      <w:r>
        <w:rPr>
          <w:rFonts w:cs="Times New Roman"/>
          <w:szCs w:val="24"/>
        </w:rPr>
        <w:t>unpleasant smelling</w:t>
      </w:r>
      <w:r w:rsidRPr="00F131CE">
        <w:rPr>
          <w:rFonts w:cs="Times New Roman"/>
          <w:szCs w:val="24"/>
        </w:rPr>
        <w:t xml:space="preserve"> compounds. </w:t>
      </w:r>
      <w:r>
        <w:rPr>
          <w:rFonts w:cs="Times New Roman"/>
          <w:szCs w:val="24"/>
        </w:rPr>
        <w:t xml:space="preserve">These make the fat smell unappetising – rancid. </w:t>
      </w:r>
      <w:r w:rsidRPr="00F131CE">
        <w:rPr>
          <w:rFonts w:cs="Times New Roman"/>
          <w:szCs w:val="24"/>
        </w:rPr>
        <w:t xml:space="preserve">In this experiment, carotene is used as a marker of fat rancidity reactions.  </w:t>
      </w:r>
    </w:p>
    <w:p w:rsidR="006B74DC" w:rsidRPr="00F131CE" w:rsidRDefault="006B74DC" w:rsidP="006B74DC">
      <w:pPr>
        <w:rPr>
          <w:rFonts w:cs="Times New Roman"/>
        </w:rPr>
      </w:pPr>
      <w:r>
        <w:rPr>
          <w:rFonts w:cs="Times New Roman"/>
          <w:szCs w:val="24"/>
        </w:rPr>
        <w:t>I</w:t>
      </w:r>
      <w:r w:rsidR="005472C6">
        <w:rPr>
          <w:rFonts w:cs="Times New Roman"/>
          <w:szCs w:val="24"/>
        </w:rPr>
        <w:t xml:space="preserve">n this investigation you will </w:t>
      </w:r>
      <w:r w:rsidRPr="00F131CE">
        <w:rPr>
          <w:rFonts w:cs="Times New Roman"/>
        </w:rPr>
        <w:t xml:space="preserve">study factors (light, temperature, antioxidants, </w:t>
      </w:r>
      <w:proofErr w:type="spellStart"/>
      <w:r w:rsidRPr="00F131CE">
        <w:rPr>
          <w:rFonts w:cs="Times New Roman"/>
        </w:rPr>
        <w:t>prooxidants</w:t>
      </w:r>
      <w:proofErr w:type="spellEnd"/>
      <w:r w:rsidRPr="00F131CE">
        <w:rPr>
          <w:rFonts w:cs="Times New Roman"/>
        </w:rPr>
        <w:t>) that affect rancidity of fats.</w:t>
      </w:r>
    </w:p>
    <w:p w:rsidR="005472C6" w:rsidRDefault="005472C6" w:rsidP="00F935B5">
      <w:pPr>
        <w:rPr>
          <w:rFonts w:cs="Times New Roman"/>
          <w:szCs w:val="24"/>
        </w:rPr>
      </w:pPr>
    </w:p>
    <w:p w:rsidR="00D774BD" w:rsidRPr="00D774BD" w:rsidRDefault="00D774BD" w:rsidP="00F935B5">
      <w:pPr>
        <w:rPr>
          <w:rFonts w:cs="Times New Roman"/>
          <w:b/>
          <w:szCs w:val="24"/>
        </w:rPr>
      </w:pPr>
      <w:r w:rsidRPr="00D774BD">
        <w:rPr>
          <w:rFonts w:cs="Times New Roman"/>
          <w:b/>
          <w:szCs w:val="24"/>
        </w:rPr>
        <w:t>You will need</w:t>
      </w:r>
    </w:p>
    <w:tbl>
      <w:tblPr>
        <w:tblStyle w:val="TableGrid"/>
        <w:tblW w:w="0" w:type="auto"/>
        <w:tblLook w:val="04A0"/>
      </w:tblPr>
      <w:tblGrid>
        <w:gridCol w:w="4621"/>
        <w:gridCol w:w="4621"/>
      </w:tblGrid>
      <w:tr w:rsidR="00F131CE" w:rsidRPr="00F131CE" w:rsidTr="00275E59">
        <w:tc>
          <w:tcPr>
            <w:tcW w:w="4621" w:type="dxa"/>
          </w:tcPr>
          <w:p w:rsidR="00F131CE" w:rsidRPr="00F131CE" w:rsidRDefault="00F131CE" w:rsidP="00275E59">
            <w:pPr>
              <w:jc w:val="both"/>
              <w:rPr>
                <w:rFonts w:cs="Times New Roman"/>
                <w:sz w:val="24"/>
              </w:rPr>
            </w:pPr>
            <w:r w:rsidRPr="00F131CE">
              <w:rPr>
                <w:rFonts w:cs="Times New Roman"/>
                <w:sz w:val="24"/>
              </w:rPr>
              <w:t>Rendered port fat</w:t>
            </w:r>
            <w:r w:rsidR="006B74DC">
              <w:rPr>
                <w:rFonts w:cs="Times New Roman"/>
                <w:sz w:val="24"/>
              </w:rPr>
              <w:t xml:space="preserve"> (L</w:t>
            </w:r>
            <w:r w:rsidRPr="00F131CE">
              <w:rPr>
                <w:rFonts w:cs="Times New Roman"/>
                <w:sz w:val="24"/>
              </w:rPr>
              <w:t>ard*) – 50 g</w:t>
            </w:r>
          </w:p>
        </w:tc>
        <w:tc>
          <w:tcPr>
            <w:tcW w:w="4621" w:type="dxa"/>
          </w:tcPr>
          <w:p w:rsidR="00F131CE" w:rsidRPr="00F131CE" w:rsidRDefault="00F131CE" w:rsidP="00275E59">
            <w:pPr>
              <w:jc w:val="both"/>
              <w:rPr>
                <w:rFonts w:cs="Times New Roman"/>
                <w:sz w:val="24"/>
              </w:rPr>
            </w:pPr>
            <w:r w:rsidRPr="00F131CE">
              <w:rPr>
                <w:rFonts w:cs="Times New Roman"/>
                <w:sz w:val="24"/>
              </w:rPr>
              <w:t>Carotene – 10 mg</w:t>
            </w:r>
          </w:p>
        </w:tc>
      </w:tr>
      <w:tr w:rsidR="00F131CE" w:rsidRPr="00F131CE" w:rsidTr="00275E59">
        <w:tc>
          <w:tcPr>
            <w:tcW w:w="4621" w:type="dxa"/>
          </w:tcPr>
          <w:p w:rsidR="00F131CE" w:rsidRPr="00F131CE" w:rsidRDefault="00F131CE" w:rsidP="00275E59">
            <w:pPr>
              <w:jc w:val="both"/>
              <w:rPr>
                <w:rFonts w:cs="Times New Roman"/>
                <w:sz w:val="24"/>
              </w:rPr>
            </w:pPr>
            <w:r w:rsidRPr="00F131CE">
              <w:rPr>
                <w:rFonts w:cs="Times New Roman"/>
                <w:sz w:val="24"/>
              </w:rPr>
              <w:t xml:space="preserve">Hexane or </w:t>
            </w:r>
            <w:proofErr w:type="spellStart"/>
            <w:r w:rsidRPr="00F131CE">
              <w:rPr>
                <w:rFonts w:cs="Times New Roman"/>
                <w:sz w:val="24"/>
              </w:rPr>
              <w:t>cyclohexane</w:t>
            </w:r>
            <w:proofErr w:type="spellEnd"/>
            <w:r w:rsidRPr="00F131CE">
              <w:rPr>
                <w:rFonts w:cs="Times New Roman"/>
                <w:sz w:val="24"/>
              </w:rPr>
              <w:t xml:space="preserve"> – 1 cm</w:t>
            </w:r>
            <w:r w:rsidRPr="00F131CE">
              <w:rPr>
                <w:rFonts w:cs="Times New Roman"/>
                <w:sz w:val="24"/>
                <w:vertAlign w:val="superscript"/>
              </w:rPr>
              <w:t>3</w:t>
            </w:r>
            <w:r w:rsidRPr="00F131CE">
              <w:rPr>
                <w:rFonts w:cs="Times New Roman"/>
                <w:sz w:val="24"/>
              </w:rPr>
              <w:t xml:space="preserve"> </w:t>
            </w:r>
          </w:p>
        </w:tc>
        <w:tc>
          <w:tcPr>
            <w:tcW w:w="4621" w:type="dxa"/>
          </w:tcPr>
          <w:p w:rsidR="00F131CE" w:rsidRPr="00F131CE" w:rsidRDefault="00F131CE" w:rsidP="00275E59">
            <w:pPr>
              <w:jc w:val="both"/>
              <w:rPr>
                <w:rFonts w:cs="Times New Roman"/>
                <w:sz w:val="24"/>
              </w:rPr>
            </w:pPr>
            <w:r w:rsidRPr="00F131CE">
              <w:rPr>
                <w:rFonts w:cs="Times New Roman"/>
                <w:sz w:val="24"/>
              </w:rPr>
              <w:t>Filter papers – 7 cm diameter discs</w:t>
            </w:r>
          </w:p>
        </w:tc>
      </w:tr>
      <w:tr w:rsidR="00F131CE" w:rsidRPr="00F131CE" w:rsidTr="00275E59">
        <w:tc>
          <w:tcPr>
            <w:tcW w:w="4621" w:type="dxa"/>
          </w:tcPr>
          <w:p w:rsidR="00F131CE" w:rsidRPr="00F131CE" w:rsidRDefault="00F131CE" w:rsidP="00275E59">
            <w:pPr>
              <w:jc w:val="both"/>
              <w:rPr>
                <w:rFonts w:cs="Times New Roman"/>
                <w:sz w:val="24"/>
              </w:rPr>
            </w:pPr>
            <w:r w:rsidRPr="00F131CE">
              <w:rPr>
                <w:rFonts w:cs="Times New Roman"/>
                <w:sz w:val="24"/>
              </w:rPr>
              <w:t>Petri dishes with filter paper discs</w:t>
            </w:r>
          </w:p>
        </w:tc>
        <w:tc>
          <w:tcPr>
            <w:tcW w:w="4621" w:type="dxa"/>
          </w:tcPr>
          <w:p w:rsidR="00F131CE" w:rsidRPr="00F131CE" w:rsidRDefault="00F131CE" w:rsidP="00275E59">
            <w:pPr>
              <w:jc w:val="both"/>
              <w:rPr>
                <w:rFonts w:cs="Times New Roman"/>
                <w:sz w:val="24"/>
              </w:rPr>
            </w:pPr>
            <w:r w:rsidRPr="00F131CE">
              <w:rPr>
                <w:rFonts w:cs="Times New Roman"/>
                <w:sz w:val="24"/>
              </w:rPr>
              <w:t>0.01 % CuSO</w:t>
            </w:r>
            <w:r w:rsidRPr="00F131CE">
              <w:rPr>
                <w:rFonts w:cs="Times New Roman"/>
                <w:sz w:val="24"/>
                <w:vertAlign w:val="subscript"/>
              </w:rPr>
              <w:t>4</w:t>
            </w:r>
            <w:r w:rsidRPr="00F131CE">
              <w:rPr>
                <w:rFonts w:cs="Times New Roman"/>
                <w:sz w:val="24"/>
              </w:rPr>
              <w:t xml:space="preserve"> – 25 ml</w:t>
            </w:r>
          </w:p>
        </w:tc>
      </w:tr>
      <w:tr w:rsidR="00F131CE" w:rsidRPr="00F131CE" w:rsidTr="00275E59">
        <w:tc>
          <w:tcPr>
            <w:tcW w:w="4621" w:type="dxa"/>
          </w:tcPr>
          <w:p w:rsidR="00F131CE" w:rsidRPr="00F131CE" w:rsidRDefault="00F131CE" w:rsidP="00275E59">
            <w:pPr>
              <w:jc w:val="both"/>
              <w:rPr>
                <w:rFonts w:cs="Times New Roman"/>
                <w:sz w:val="24"/>
              </w:rPr>
            </w:pPr>
            <w:r w:rsidRPr="00F131CE">
              <w:rPr>
                <w:rFonts w:cs="Times New Roman"/>
                <w:sz w:val="24"/>
              </w:rPr>
              <w:t>0.001% BHA – 25 ml</w:t>
            </w:r>
          </w:p>
        </w:tc>
        <w:tc>
          <w:tcPr>
            <w:tcW w:w="4621" w:type="dxa"/>
          </w:tcPr>
          <w:p w:rsidR="00F131CE" w:rsidRPr="00F131CE" w:rsidRDefault="00F131CE" w:rsidP="00275E59">
            <w:pPr>
              <w:jc w:val="both"/>
              <w:rPr>
                <w:rFonts w:cs="Times New Roman"/>
                <w:sz w:val="24"/>
              </w:rPr>
            </w:pPr>
            <w:r w:rsidRPr="00F131CE">
              <w:rPr>
                <w:rFonts w:cs="Times New Roman"/>
                <w:sz w:val="24"/>
              </w:rPr>
              <w:t>0.5% haemoglobin – 25 ml</w:t>
            </w:r>
          </w:p>
        </w:tc>
      </w:tr>
      <w:tr w:rsidR="00F131CE" w:rsidRPr="00F131CE" w:rsidTr="00275E59">
        <w:tc>
          <w:tcPr>
            <w:tcW w:w="4621" w:type="dxa"/>
          </w:tcPr>
          <w:p w:rsidR="00F131CE" w:rsidRPr="00F131CE" w:rsidRDefault="00F131CE" w:rsidP="00275E59">
            <w:pPr>
              <w:jc w:val="both"/>
              <w:rPr>
                <w:rFonts w:cs="Times New Roman"/>
                <w:sz w:val="24"/>
              </w:rPr>
            </w:pPr>
            <w:r w:rsidRPr="00F131CE">
              <w:rPr>
                <w:rFonts w:cs="Times New Roman"/>
                <w:sz w:val="24"/>
              </w:rPr>
              <w:t>Saturated salt solution – 25 ml</w:t>
            </w:r>
          </w:p>
        </w:tc>
        <w:tc>
          <w:tcPr>
            <w:tcW w:w="4621" w:type="dxa"/>
          </w:tcPr>
          <w:p w:rsidR="00F131CE" w:rsidRPr="00F131CE" w:rsidRDefault="00F131CE" w:rsidP="00275E59">
            <w:pPr>
              <w:jc w:val="both"/>
              <w:rPr>
                <w:rFonts w:cs="Times New Roman"/>
                <w:sz w:val="24"/>
              </w:rPr>
            </w:pPr>
            <w:r w:rsidRPr="00F131CE">
              <w:rPr>
                <w:rFonts w:cs="Times New Roman"/>
                <w:sz w:val="24"/>
              </w:rPr>
              <w:t>Turnip greens extract – 80 ml</w:t>
            </w:r>
          </w:p>
        </w:tc>
      </w:tr>
      <w:tr w:rsidR="00F131CE" w:rsidRPr="00F131CE" w:rsidTr="00275E59">
        <w:tc>
          <w:tcPr>
            <w:tcW w:w="4621" w:type="dxa"/>
          </w:tcPr>
          <w:p w:rsidR="00F131CE" w:rsidRPr="00F131CE" w:rsidRDefault="00F131CE" w:rsidP="00275E59">
            <w:pPr>
              <w:jc w:val="both"/>
              <w:rPr>
                <w:rFonts w:cs="Times New Roman"/>
                <w:sz w:val="24"/>
              </w:rPr>
            </w:pPr>
            <w:r w:rsidRPr="00F131CE">
              <w:rPr>
                <w:rFonts w:cs="Times New Roman"/>
                <w:sz w:val="24"/>
              </w:rPr>
              <w:t>Green onion tops extract – 80 ml</w:t>
            </w:r>
          </w:p>
        </w:tc>
        <w:tc>
          <w:tcPr>
            <w:tcW w:w="4621" w:type="dxa"/>
          </w:tcPr>
          <w:p w:rsidR="00F131CE" w:rsidRPr="00F131CE" w:rsidRDefault="00F131CE" w:rsidP="00275E59">
            <w:pPr>
              <w:jc w:val="both"/>
              <w:rPr>
                <w:rFonts w:cs="Times New Roman"/>
                <w:sz w:val="24"/>
              </w:rPr>
            </w:pPr>
            <w:r w:rsidRPr="00F131CE">
              <w:rPr>
                <w:rFonts w:cs="Times New Roman"/>
                <w:sz w:val="24"/>
              </w:rPr>
              <w:t>White potatoes extract – 80 ml</w:t>
            </w:r>
          </w:p>
        </w:tc>
      </w:tr>
    </w:tbl>
    <w:p w:rsidR="00F131CE" w:rsidRPr="00F131CE" w:rsidRDefault="00F131CE" w:rsidP="00F131CE">
      <w:pPr>
        <w:jc w:val="both"/>
        <w:rPr>
          <w:rFonts w:cs="Times New Roman"/>
          <w:i/>
        </w:rPr>
      </w:pPr>
      <w:r w:rsidRPr="00F131CE">
        <w:rPr>
          <w:rFonts w:cs="Times New Roman"/>
          <w:i/>
        </w:rPr>
        <w:t>* You can’t use commercial lard for this</w:t>
      </w:r>
      <w:r w:rsidR="00793AA3">
        <w:rPr>
          <w:rFonts w:cs="Times New Roman"/>
          <w:i/>
        </w:rPr>
        <w:t xml:space="preserve"> easily</w:t>
      </w:r>
      <w:r w:rsidRPr="00F131CE">
        <w:rPr>
          <w:rFonts w:cs="Times New Roman"/>
          <w:i/>
        </w:rPr>
        <w:t xml:space="preserve"> because it has antioxidants added to it for preservation.</w:t>
      </w:r>
      <w:r w:rsidR="006B74DC">
        <w:rPr>
          <w:rFonts w:cs="Times New Roman"/>
          <w:i/>
        </w:rPr>
        <w:t xml:space="preserve"> </w:t>
      </w:r>
      <w:r w:rsidRPr="00F131CE">
        <w:rPr>
          <w:rFonts w:cs="Times New Roman"/>
          <w:i/>
        </w:rPr>
        <w:t>Use the fat from cooking bacon or sausages or any other meat.</w:t>
      </w:r>
      <w:r w:rsidR="00793AA3">
        <w:rPr>
          <w:rFonts w:cs="Times New Roman"/>
          <w:i/>
        </w:rPr>
        <w:t xml:space="preserve"> If lard is to be used, it will need to be left for longer.</w:t>
      </w:r>
    </w:p>
    <w:p w:rsidR="00F131CE" w:rsidRPr="00F131CE" w:rsidRDefault="00F131CE" w:rsidP="00F131CE">
      <w:pPr>
        <w:jc w:val="both"/>
        <w:rPr>
          <w:rFonts w:cs="Times New Roman"/>
        </w:rPr>
      </w:pPr>
      <w:r w:rsidRPr="00F131CE">
        <w:rPr>
          <w:rFonts w:cs="Times New Roman"/>
          <w:i/>
        </w:rPr>
        <w:t>Complications:</w:t>
      </w:r>
      <w:r w:rsidRPr="00F131CE">
        <w:rPr>
          <w:rFonts w:cs="Times New Roman"/>
        </w:rPr>
        <w:t xml:space="preserve"> If the group or groups doing this experiment also have other experiment assigned, this one should be started first due to the length of time that must be allowed for oxidation reaction to take place. </w:t>
      </w:r>
    </w:p>
    <w:p w:rsidR="00F131CE" w:rsidRPr="00F131CE" w:rsidRDefault="00F131CE" w:rsidP="00F131CE">
      <w:pPr>
        <w:jc w:val="both"/>
        <w:rPr>
          <w:rFonts w:cs="Times New Roman"/>
          <w:b/>
        </w:rPr>
      </w:pPr>
      <w:r w:rsidRPr="00F131CE">
        <w:rPr>
          <w:rFonts w:cs="Times New Roman"/>
          <w:b/>
        </w:rPr>
        <w:t>Experiment 1 (environmental conditions)</w:t>
      </w:r>
    </w:p>
    <w:p w:rsidR="00F131CE" w:rsidRPr="00F131CE" w:rsidRDefault="00F131CE" w:rsidP="00F131CE">
      <w:pPr>
        <w:jc w:val="both"/>
        <w:rPr>
          <w:rFonts w:cs="Times New Roman"/>
          <w:b/>
        </w:rPr>
      </w:pPr>
      <w:r w:rsidRPr="00F131CE">
        <w:rPr>
          <w:rFonts w:cs="Times New Roman"/>
          <w:b/>
        </w:rPr>
        <w:t>Procedure</w:t>
      </w:r>
    </w:p>
    <w:p w:rsidR="00F131CE" w:rsidRPr="00F131CE" w:rsidRDefault="00F131CE" w:rsidP="00F131CE">
      <w:pPr>
        <w:pStyle w:val="ListParagraph"/>
        <w:numPr>
          <w:ilvl w:val="0"/>
          <w:numId w:val="19"/>
        </w:numPr>
        <w:ind w:hanging="357"/>
        <w:contextualSpacing w:val="0"/>
        <w:jc w:val="both"/>
        <w:rPr>
          <w:rFonts w:cs="Times New Roman"/>
        </w:rPr>
      </w:pPr>
      <w:r w:rsidRPr="00F131CE">
        <w:rPr>
          <w:rFonts w:cs="Times New Roman"/>
        </w:rPr>
        <w:t xml:space="preserve">Dissolve 10 mg carotene in a little hexane or </w:t>
      </w:r>
      <w:proofErr w:type="spellStart"/>
      <w:r w:rsidRPr="00F131CE">
        <w:rPr>
          <w:rFonts w:cs="Times New Roman"/>
        </w:rPr>
        <w:t>cyclohexane</w:t>
      </w:r>
      <w:proofErr w:type="spellEnd"/>
      <w:r w:rsidRPr="00F131CE">
        <w:rPr>
          <w:rFonts w:cs="Times New Roman"/>
        </w:rPr>
        <w:t xml:space="preserve"> (about 1 cm</w:t>
      </w:r>
      <w:r w:rsidRPr="00F131CE">
        <w:rPr>
          <w:rFonts w:cs="Times New Roman"/>
          <w:vertAlign w:val="superscript"/>
        </w:rPr>
        <w:t>3</w:t>
      </w:r>
      <w:r w:rsidRPr="00F131CE">
        <w:rPr>
          <w:rFonts w:cs="Times New Roman"/>
        </w:rPr>
        <w:t xml:space="preserve"> should be enough) </w:t>
      </w:r>
    </w:p>
    <w:p w:rsidR="00F131CE" w:rsidRPr="00F131CE" w:rsidRDefault="00F131CE" w:rsidP="00F131CE">
      <w:pPr>
        <w:pStyle w:val="ListParagraph"/>
        <w:numPr>
          <w:ilvl w:val="0"/>
          <w:numId w:val="19"/>
        </w:numPr>
        <w:ind w:hanging="357"/>
        <w:contextualSpacing w:val="0"/>
        <w:jc w:val="both"/>
        <w:rPr>
          <w:rFonts w:cs="Times New Roman"/>
        </w:rPr>
      </w:pPr>
      <w:r w:rsidRPr="00F131CE">
        <w:rPr>
          <w:rFonts w:cs="Times New Roman"/>
        </w:rPr>
        <w:t>Melt 50 g of rendered pork fat (lard). When it is melted, add the carotene and mix.</w:t>
      </w:r>
    </w:p>
    <w:p w:rsidR="00F131CE" w:rsidRPr="00F131CE" w:rsidRDefault="00F131CE" w:rsidP="00F131CE">
      <w:pPr>
        <w:pStyle w:val="ListParagraph"/>
        <w:numPr>
          <w:ilvl w:val="0"/>
          <w:numId w:val="19"/>
        </w:numPr>
        <w:ind w:hanging="357"/>
        <w:contextualSpacing w:val="0"/>
        <w:jc w:val="both"/>
        <w:rPr>
          <w:rFonts w:cs="Times New Roman"/>
        </w:rPr>
      </w:pPr>
      <w:r w:rsidRPr="00F131CE">
        <w:rPr>
          <w:rFonts w:cs="Times New Roman"/>
        </w:rPr>
        <w:t xml:space="preserve">Using forceps, dip small filter papers (7 cm in diameter) in the melted fat and allow to drain for 20 seconds. Transfer to </w:t>
      </w:r>
      <w:proofErr w:type="spellStart"/>
      <w:r w:rsidRPr="00F131CE">
        <w:rPr>
          <w:rFonts w:cs="Times New Roman"/>
        </w:rPr>
        <w:t>petri</w:t>
      </w:r>
      <w:proofErr w:type="spellEnd"/>
      <w:r w:rsidRPr="00F131CE">
        <w:rPr>
          <w:rFonts w:cs="Times New Roman"/>
        </w:rPr>
        <w:t xml:space="preserve"> dishes and treat as follows.</w:t>
      </w:r>
    </w:p>
    <w:p w:rsidR="00F131CE" w:rsidRPr="00F131CE" w:rsidRDefault="00F131CE" w:rsidP="00F131CE">
      <w:pPr>
        <w:pStyle w:val="ListParagraph"/>
        <w:numPr>
          <w:ilvl w:val="1"/>
          <w:numId w:val="18"/>
        </w:numPr>
        <w:ind w:hanging="357"/>
        <w:contextualSpacing w:val="0"/>
        <w:jc w:val="both"/>
        <w:rPr>
          <w:rFonts w:cs="Times New Roman"/>
        </w:rPr>
      </w:pPr>
      <w:r w:rsidRPr="00F131CE">
        <w:rPr>
          <w:rFonts w:cs="Times New Roman"/>
        </w:rPr>
        <w:t>Cover the dish and stored in the dark at room temperature</w:t>
      </w:r>
    </w:p>
    <w:p w:rsidR="00F131CE" w:rsidRPr="00F131CE" w:rsidRDefault="00F131CE" w:rsidP="00F131CE">
      <w:pPr>
        <w:pStyle w:val="ListParagraph"/>
        <w:numPr>
          <w:ilvl w:val="1"/>
          <w:numId w:val="18"/>
        </w:numPr>
        <w:ind w:hanging="357"/>
        <w:contextualSpacing w:val="0"/>
        <w:jc w:val="both"/>
        <w:rPr>
          <w:rFonts w:cs="Times New Roman"/>
        </w:rPr>
      </w:pPr>
      <w:r w:rsidRPr="00F131CE">
        <w:rPr>
          <w:rFonts w:cs="Times New Roman"/>
        </w:rPr>
        <w:t>Cover the dish and store in the light (direct sunlight if possible)</w:t>
      </w:r>
    </w:p>
    <w:p w:rsidR="00F131CE" w:rsidRPr="00F131CE" w:rsidRDefault="00F131CE" w:rsidP="00F131CE">
      <w:pPr>
        <w:pStyle w:val="ListParagraph"/>
        <w:numPr>
          <w:ilvl w:val="1"/>
          <w:numId w:val="18"/>
        </w:numPr>
        <w:ind w:hanging="357"/>
        <w:contextualSpacing w:val="0"/>
        <w:jc w:val="both"/>
        <w:rPr>
          <w:rFonts w:cs="Times New Roman"/>
        </w:rPr>
      </w:pPr>
      <w:r w:rsidRPr="00F131CE">
        <w:rPr>
          <w:rFonts w:cs="Times New Roman"/>
        </w:rPr>
        <w:t>Cover the dish and store in the refrigerator</w:t>
      </w:r>
    </w:p>
    <w:p w:rsidR="00F131CE" w:rsidRPr="00F131CE" w:rsidRDefault="00F131CE" w:rsidP="00F131CE">
      <w:pPr>
        <w:pStyle w:val="ListParagraph"/>
        <w:numPr>
          <w:ilvl w:val="1"/>
          <w:numId w:val="18"/>
        </w:numPr>
        <w:ind w:hanging="357"/>
        <w:contextualSpacing w:val="0"/>
        <w:jc w:val="both"/>
        <w:rPr>
          <w:rFonts w:cs="Times New Roman"/>
        </w:rPr>
      </w:pPr>
      <w:r w:rsidRPr="00F131CE">
        <w:rPr>
          <w:rFonts w:cs="Times New Roman"/>
        </w:rPr>
        <w:t>Cover the dish and store in an incubator at 60°C</w:t>
      </w:r>
    </w:p>
    <w:p w:rsidR="00F131CE" w:rsidRPr="00F131CE" w:rsidRDefault="00F131CE" w:rsidP="00F131CE">
      <w:pPr>
        <w:pStyle w:val="ListParagraph"/>
        <w:ind w:left="0"/>
        <w:contextualSpacing w:val="0"/>
        <w:jc w:val="both"/>
        <w:rPr>
          <w:rFonts w:cs="Times New Roman"/>
          <w:b/>
        </w:rPr>
      </w:pPr>
      <w:r w:rsidRPr="00F131CE">
        <w:rPr>
          <w:rFonts w:cs="Times New Roman"/>
          <w:b/>
        </w:rPr>
        <w:lastRenderedPageBreak/>
        <w:t xml:space="preserve">Experiment 2 (antioxidants and </w:t>
      </w:r>
      <w:proofErr w:type="spellStart"/>
      <w:r w:rsidRPr="00F131CE">
        <w:rPr>
          <w:rFonts w:cs="Times New Roman"/>
          <w:b/>
        </w:rPr>
        <w:t>prooxidants</w:t>
      </w:r>
      <w:proofErr w:type="spellEnd"/>
      <w:r w:rsidRPr="00F131CE">
        <w:rPr>
          <w:rFonts w:cs="Times New Roman"/>
          <w:b/>
        </w:rPr>
        <w:t>)</w:t>
      </w:r>
    </w:p>
    <w:p w:rsidR="00F131CE" w:rsidRPr="00F131CE" w:rsidRDefault="00F131CE" w:rsidP="00F131CE">
      <w:pPr>
        <w:pStyle w:val="ListParagraph"/>
        <w:numPr>
          <w:ilvl w:val="0"/>
          <w:numId w:val="20"/>
        </w:numPr>
        <w:contextualSpacing w:val="0"/>
        <w:jc w:val="both"/>
        <w:rPr>
          <w:rFonts w:cs="Times New Roman"/>
        </w:rPr>
      </w:pPr>
      <w:r w:rsidRPr="00F131CE">
        <w:rPr>
          <w:rFonts w:cs="Times New Roman"/>
        </w:rPr>
        <w:t>Prepare filter paper discs as in Experiment A</w:t>
      </w:r>
    </w:p>
    <w:p w:rsidR="00F131CE" w:rsidRPr="00F131CE" w:rsidRDefault="00F131CE" w:rsidP="00F131CE">
      <w:pPr>
        <w:pStyle w:val="ListParagraph"/>
        <w:numPr>
          <w:ilvl w:val="0"/>
          <w:numId w:val="20"/>
        </w:numPr>
        <w:contextualSpacing w:val="0"/>
        <w:jc w:val="both"/>
        <w:rPr>
          <w:rFonts w:cs="Times New Roman"/>
        </w:rPr>
      </w:pPr>
      <w:r w:rsidRPr="00F131CE">
        <w:rPr>
          <w:rFonts w:cs="Times New Roman"/>
        </w:rPr>
        <w:t xml:space="preserve">for these experiments, saturate small filter discs with test solutions (see below); place several disc of each test solution on a filter paper saturated with carotene-lard mixture. Invert the bottom of the </w:t>
      </w:r>
      <w:proofErr w:type="spellStart"/>
      <w:r w:rsidRPr="00F131CE">
        <w:rPr>
          <w:rFonts w:cs="Times New Roman"/>
        </w:rPr>
        <w:t>petri</w:t>
      </w:r>
      <w:proofErr w:type="spellEnd"/>
      <w:r w:rsidRPr="00F131CE">
        <w:rPr>
          <w:rFonts w:cs="Times New Roman"/>
        </w:rPr>
        <w:t xml:space="preserve"> dish containing the papers over the </w:t>
      </w:r>
      <w:proofErr w:type="spellStart"/>
      <w:r w:rsidRPr="00F131CE">
        <w:rPr>
          <w:rFonts w:cs="Times New Roman"/>
        </w:rPr>
        <w:t>petri</w:t>
      </w:r>
      <w:proofErr w:type="spellEnd"/>
      <w:r w:rsidRPr="00F131CE">
        <w:rPr>
          <w:rFonts w:cs="Times New Roman"/>
        </w:rPr>
        <w:t xml:space="preserve"> top containing water, using a separate </w:t>
      </w:r>
      <w:proofErr w:type="spellStart"/>
      <w:r w:rsidRPr="00F131CE">
        <w:rPr>
          <w:rFonts w:cs="Times New Roman"/>
        </w:rPr>
        <w:t>petri</w:t>
      </w:r>
      <w:proofErr w:type="spellEnd"/>
      <w:r w:rsidRPr="00F131CE">
        <w:rPr>
          <w:rFonts w:cs="Times New Roman"/>
        </w:rPr>
        <w:t xml:space="preserve"> dish for each variation.  Store dishes in an incubator at 40°C. Solution to be tested include:</w:t>
      </w:r>
    </w:p>
    <w:p w:rsidR="00F131CE" w:rsidRPr="00F131CE" w:rsidRDefault="00F131CE" w:rsidP="00F131CE">
      <w:pPr>
        <w:pStyle w:val="ListParagraph"/>
        <w:numPr>
          <w:ilvl w:val="1"/>
          <w:numId w:val="18"/>
        </w:numPr>
        <w:ind w:hanging="357"/>
        <w:contextualSpacing w:val="0"/>
        <w:jc w:val="both"/>
        <w:rPr>
          <w:rFonts w:cs="Times New Roman"/>
        </w:rPr>
      </w:pPr>
      <w:r w:rsidRPr="00F131CE">
        <w:rPr>
          <w:rFonts w:cs="Times New Roman"/>
        </w:rPr>
        <w:t>Water control</w:t>
      </w:r>
    </w:p>
    <w:p w:rsidR="00F131CE" w:rsidRPr="00F131CE" w:rsidRDefault="00F131CE" w:rsidP="00F131CE">
      <w:pPr>
        <w:pStyle w:val="ListParagraph"/>
        <w:numPr>
          <w:ilvl w:val="1"/>
          <w:numId w:val="18"/>
        </w:numPr>
        <w:ind w:hanging="357"/>
        <w:contextualSpacing w:val="0"/>
        <w:jc w:val="both"/>
        <w:rPr>
          <w:rFonts w:cs="Times New Roman"/>
        </w:rPr>
      </w:pPr>
      <w:r w:rsidRPr="00F131CE">
        <w:rPr>
          <w:rFonts w:cs="Times New Roman"/>
        </w:rPr>
        <w:t>Dilute copper solution (0.01% CuSO</w:t>
      </w:r>
      <w:r w:rsidRPr="00F131CE">
        <w:rPr>
          <w:rFonts w:cs="Times New Roman"/>
          <w:vertAlign w:val="subscript"/>
        </w:rPr>
        <w:t>4</w:t>
      </w:r>
      <w:r w:rsidRPr="00F131CE">
        <w:rPr>
          <w:rFonts w:cs="Times New Roman"/>
        </w:rPr>
        <w:t>)</w:t>
      </w:r>
    </w:p>
    <w:p w:rsidR="00F131CE" w:rsidRPr="00F131CE" w:rsidRDefault="00F131CE" w:rsidP="00F131CE">
      <w:pPr>
        <w:pStyle w:val="ListParagraph"/>
        <w:numPr>
          <w:ilvl w:val="1"/>
          <w:numId w:val="18"/>
        </w:numPr>
        <w:ind w:hanging="357"/>
        <w:contextualSpacing w:val="0"/>
        <w:jc w:val="both"/>
        <w:rPr>
          <w:rFonts w:cs="Times New Roman"/>
        </w:rPr>
      </w:pPr>
      <w:r w:rsidRPr="00F131CE">
        <w:rPr>
          <w:rFonts w:cs="Times New Roman"/>
        </w:rPr>
        <w:t>Dilute haemoglobin solution (0.5%)</w:t>
      </w:r>
    </w:p>
    <w:p w:rsidR="00F131CE" w:rsidRPr="00F131CE" w:rsidRDefault="00F131CE" w:rsidP="00F131CE">
      <w:pPr>
        <w:pStyle w:val="ListParagraph"/>
        <w:numPr>
          <w:ilvl w:val="1"/>
          <w:numId w:val="18"/>
        </w:numPr>
        <w:ind w:hanging="357"/>
        <w:contextualSpacing w:val="0"/>
        <w:jc w:val="both"/>
        <w:rPr>
          <w:rFonts w:cs="Times New Roman"/>
        </w:rPr>
      </w:pPr>
      <w:r w:rsidRPr="00F131CE">
        <w:rPr>
          <w:rFonts w:cs="Times New Roman"/>
        </w:rPr>
        <w:t>Commercial antioxidant (0.001% BHA)</w:t>
      </w:r>
    </w:p>
    <w:p w:rsidR="00F131CE" w:rsidRPr="00F131CE" w:rsidRDefault="00F131CE" w:rsidP="00F131CE">
      <w:pPr>
        <w:pStyle w:val="ListParagraph"/>
        <w:numPr>
          <w:ilvl w:val="1"/>
          <w:numId w:val="18"/>
        </w:numPr>
        <w:ind w:hanging="357"/>
        <w:contextualSpacing w:val="0"/>
        <w:jc w:val="both"/>
        <w:rPr>
          <w:rFonts w:cs="Times New Roman"/>
        </w:rPr>
      </w:pPr>
      <w:r w:rsidRPr="00F131CE">
        <w:rPr>
          <w:rFonts w:cs="Times New Roman"/>
        </w:rPr>
        <w:t>Saturated salt solution</w:t>
      </w:r>
    </w:p>
    <w:p w:rsidR="00F131CE" w:rsidRPr="00F131CE" w:rsidRDefault="00F131CE" w:rsidP="00F131CE">
      <w:pPr>
        <w:pStyle w:val="ListParagraph"/>
        <w:numPr>
          <w:ilvl w:val="1"/>
          <w:numId w:val="18"/>
        </w:numPr>
        <w:ind w:hanging="357"/>
        <w:contextualSpacing w:val="0"/>
        <w:jc w:val="both"/>
        <w:rPr>
          <w:rFonts w:cs="Times New Roman"/>
        </w:rPr>
      </w:pPr>
      <w:r w:rsidRPr="00F131CE">
        <w:rPr>
          <w:rFonts w:cs="Times New Roman"/>
        </w:rPr>
        <w:t>Extracts prepared by heating 20 g chopped vegetable (turnip greens, green onion tops, white potato peel) with 80 ml H</w:t>
      </w:r>
      <w:r w:rsidRPr="00F131CE">
        <w:rPr>
          <w:rFonts w:cs="Times New Roman"/>
          <w:vertAlign w:val="subscript"/>
        </w:rPr>
        <w:t>2</w:t>
      </w:r>
      <w:r w:rsidRPr="00F131CE">
        <w:rPr>
          <w:rFonts w:cs="Times New Roman"/>
        </w:rPr>
        <w:t>O to the boiling point. Decant and cool before using.</w:t>
      </w:r>
    </w:p>
    <w:p w:rsidR="00F131CE" w:rsidRPr="00F131CE" w:rsidRDefault="00F131CE" w:rsidP="00F131CE">
      <w:pPr>
        <w:jc w:val="both"/>
        <w:rPr>
          <w:rFonts w:cs="Times New Roman"/>
        </w:rPr>
      </w:pPr>
      <w:r w:rsidRPr="00F131CE">
        <w:rPr>
          <w:rFonts w:cs="Times New Roman"/>
        </w:rPr>
        <w:t xml:space="preserve">On cannot visualise fats going rancid. Carotene, which is a highly unsaturated hydrocarbon similar in structure to a fatty acid, turns from bright orange to colourless as it oxidises. There, the rate of bleaching observable with the carotene can be used as an index to the rate of oxidative rancidity of the fat. Compare the treatments for their influence on oxidative rancidity as determined by the rate of bleaching. Compare the odour of fat in bleached vs. non-bleached paper. Outline the events (with reactions) that occur as fats undergo oxidative rancidity. Discuss the results of each treatment using this outline. </w:t>
      </w:r>
    </w:p>
    <w:p w:rsidR="00F131CE" w:rsidRPr="00F131CE" w:rsidRDefault="00F131CE" w:rsidP="00F131CE">
      <w:pPr>
        <w:jc w:val="both"/>
        <w:rPr>
          <w:rFonts w:cs="Times New Roman"/>
        </w:rPr>
      </w:pPr>
      <w:r w:rsidRPr="00F131CE">
        <w:rPr>
          <w:rFonts w:cs="Times New Roman"/>
        </w:rPr>
        <w:t xml:space="preserve">Taken from: The Food Chemistry Laboratory – Connie M Weaver and James R Daniel </w:t>
      </w:r>
    </w:p>
    <w:p w:rsidR="0005420F" w:rsidRDefault="0005420F" w:rsidP="00F935B5">
      <w:pPr>
        <w:rPr>
          <w:rFonts w:cs="Times New Roman"/>
          <w:b/>
        </w:rPr>
      </w:pPr>
    </w:p>
    <w:p w:rsidR="007E694D" w:rsidRDefault="007E694D" w:rsidP="00F935B5">
      <w:pPr>
        <w:rPr>
          <w:rFonts w:cs="Times New Roman"/>
          <w:b/>
        </w:rPr>
      </w:pPr>
      <w:r w:rsidRPr="00D774BD">
        <w:rPr>
          <w:rFonts w:cs="Times New Roman"/>
          <w:b/>
        </w:rPr>
        <w:t>Health &amp; Safety</w:t>
      </w:r>
    </w:p>
    <w:p w:rsidR="00987116" w:rsidRPr="00987116" w:rsidRDefault="00987116" w:rsidP="00F935B5">
      <w:pPr>
        <w:rPr>
          <w:rFonts w:cs="Times New Roman"/>
        </w:rPr>
      </w:pPr>
      <w:r w:rsidRPr="00987116">
        <w:rPr>
          <w:rFonts w:cs="Times New Roman"/>
        </w:rPr>
        <w:t>All the reagents are of low hazard.</w:t>
      </w:r>
    </w:p>
    <w:sectPr w:rsidR="00987116" w:rsidRPr="00987116" w:rsidSect="0005420F">
      <w:pgSz w:w="11906" w:h="16838"/>
      <w:pgMar w:top="1440" w:right="1440" w:bottom="1440" w:left="1440" w:header="708" w:footer="708" w:gutter="0"/>
      <w:pgBorders w:offsetFrom="page">
        <w:top w:val="thinThickSmallGap" w:sz="24" w:space="24" w:color="31849B" w:themeColor="accent5" w:themeShade="BF"/>
        <w:left w:val="thinThickSmallGap" w:sz="24" w:space="24" w:color="31849B" w:themeColor="accent5" w:themeShade="BF"/>
        <w:bottom w:val="thickThinSmallGap" w:sz="24" w:space="24" w:color="31849B" w:themeColor="accent5" w:themeShade="BF"/>
        <w:right w:val="thickThinSmallGap" w:sz="24" w:space="24" w:color="31849B" w:themeColor="accent5"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61762B"/>
    <w:multiLevelType w:val="hybridMultilevel"/>
    <w:tmpl w:val="3932BE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481649"/>
    <w:multiLevelType w:val="hybridMultilevel"/>
    <w:tmpl w:val="3502F476"/>
    <w:lvl w:ilvl="0" w:tplc="0809000B">
      <w:start w:val="1"/>
      <w:numFmt w:val="bullet"/>
      <w:lvlText w:val=""/>
      <w:lvlJc w:val="left"/>
      <w:pPr>
        <w:ind w:left="1080" w:hanging="360"/>
      </w:pPr>
      <w:rPr>
        <w:rFonts w:ascii="Wingdings" w:hAnsi="Wingding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26262B5"/>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6154EBB"/>
    <w:multiLevelType w:val="hybridMultilevel"/>
    <w:tmpl w:val="2F821C7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8DE3451"/>
    <w:multiLevelType w:val="hybridMultilevel"/>
    <w:tmpl w:val="96A824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BDD17BF"/>
    <w:multiLevelType w:val="hybridMultilevel"/>
    <w:tmpl w:val="D61A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0E30E7"/>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E1817E0"/>
    <w:multiLevelType w:val="hybridMultilevel"/>
    <w:tmpl w:val="D61A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9704E7"/>
    <w:multiLevelType w:val="hybridMultilevel"/>
    <w:tmpl w:val="9BBAB0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F8364D"/>
    <w:multiLevelType w:val="hybridMultilevel"/>
    <w:tmpl w:val="96A824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87446E0"/>
    <w:multiLevelType w:val="hybridMultilevel"/>
    <w:tmpl w:val="A9AE2938"/>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3">
    <w:nsid w:val="48F51EE3"/>
    <w:multiLevelType w:val="hybridMultilevel"/>
    <w:tmpl w:val="69961A44"/>
    <w:lvl w:ilvl="0" w:tplc="0809000F">
      <w:start w:val="1"/>
      <w:numFmt w:val="decimal"/>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A71CDE"/>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1C1271B"/>
    <w:multiLevelType w:val="hybridMultilevel"/>
    <w:tmpl w:val="D61A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135E9C"/>
    <w:multiLevelType w:val="hybridMultilevel"/>
    <w:tmpl w:val="85987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3D30EC2"/>
    <w:multiLevelType w:val="hybridMultilevel"/>
    <w:tmpl w:val="A44ECBE8"/>
    <w:lvl w:ilvl="0" w:tplc="39F8687E">
      <w:start w:val="1"/>
      <w:numFmt w:val="decimal"/>
      <w:lvlText w:val="%1."/>
      <w:lvlJc w:val="left"/>
      <w:pPr>
        <w:ind w:left="720" w:hanging="360"/>
      </w:pPr>
      <w:rPr>
        <w:rFonts w:asciiTheme="minorHAnsi" w:hAnsiTheme="minorHAnsi" w:hint="default"/>
        <w:b/>
        <w:color w:val="00206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DD53A2"/>
    <w:multiLevelType w:val="hybridMultilevel"/>
    <w:tmpl w:val="5AD65C72"/>
    <w:lvl w:ilvl="0" w:tplc="A52E6C9C">
      <w:start w:val="1"/>
      <w:numFmt w:val="bullet"/>
      <w:lvlText w:val=""/>
      <w:lvlJc w:val="left"/>
      <w:pPr>
        <w:ind w:left="720" w:hanging="360"/>
      </w:pPr>
      <w:rPr>
        <w:rFonts w:ascii="Wingdings" w:hAnsi="Wingdings" w:hint="default"/>
        <w:color w:val="D1005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692FEE"/>
    <w:multiLevelType w:val="hybridMultilevel"/>
    <w:tmpl w:val="F58CC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2"/>
  </w:num>
  <w:num w:numId="4">
    <w:abstractNumId w:val="3"/>
  </w:num>
  <w:num w:numId="5">
    <w:abstractNumId w:val="14"/>
  </w:num>
  <w:num w:numId="6">
    <w:abstractNumId w:val="7"/>
  </w:num>
  <w:num w:numId="7">
    <w:abstractNumId w:val="9"/>
  </w:num>
  <w:num w:numId="8">
    <w:abstractNumId w:val="18"/>
  </w:num>
  <w:num w:numId="9">
    <w:abstractNumId w:val="17"/>
  </w:num>
  <w:num w:numId="10">
    <w:abstractNumId w:val="4"/>
  </w:num>
  <w:num w:numId="11">
    <w:abstractNumId w:val="2"/>
  </w:num>
  <w:num w:numId="12">
    <w:abstractNumId w:val="19"/>
  </w:num>
  <w:num w:numId="13">
    <w:abstractNumId w:val="1"/>
  </w:num>
  <w:num w:numId="14">
    <w:abstractNumId w:val="16"/>
  </w:num>
  <w:num w:numId="15">
    <w:abstractNumId w:val="15"/>
  </w:num>
  <w:num w:numId="16">
    <w:abstractNumId w:val="6"/>
  </w:num>
  <w:num w:numId="17">
    <w:abstractNumId w:val="8"/>
  </w:num>
  <w:num w:numId="18">
    <w:abstractNumId w:val="13"/>
  </w:num>
  <w:num w:numId="19">
    <w:abstractNumId w:val="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drawingGridHorizontalSpacing w:val="120"/>
  <w:displayHorizontalDrawingGridEvery w:val="2"/>
  <w:characterSpacingControl w:val="doNotCompress"/>
  <w:compat/>
  <w:rsids>
    <w:rsidRoot w:val="000D3941"/>
    <w:rsid w:val="000136E7"/>
    <w:rsid w:val="0005420F"/>
    <w:rsid w:val="0007727A"/>
    <w:rsid w:val="00091334"/>
    <w:rsid w:val="000A3430"/>
    <w:rsid w:val="000B3595"/>
    <w:rsid w:val="000B5459"/>
    <w:rsid w:val="000D3941"/>
    <w:rsid w:val="000F0B77"/>
    <w:rsid w:val="001535D3"/>
    <w:rsid w:val="001677C8"/>
    <w:rsid w:val="001A5264"/>
    <w:rsid w:val="001B1B53"/>
    <w:rsid w:val="0020237C"/>
    <w:rsid w:val="00241B96"/>
    <w:rsid w:val="00271738"/>
    <w:rsid w:val="00295B88"/>
    <w:rsid w:val="002F7477"/>
    <w:rsid w:val="0031157A"/>
    <w:rsid w:val="00324B05"/>
    <w:rsid w:val="00381B5A"/>
    <w:rsid w:val="00397FD1"/>
    <w:rsid w:val="003B3C4F"/>
    <w:rsid w:val="003C22F8"/>
    <w:rsid w:val="003C7344"/>
    <w:rsid w:val="00407744"/>
    <w:rsid w:val="00432D20"/>
    <w:rsid w:val="00435E0B"/>
    <w:rsid w:val="00462F40"/>
    <w:rsid w:val="004952AF"/>
    <w:rsid w:val="00496ACF"/>
    <w:rsid w:val="004A4A8E"/>
    <w:rsid w:val="004C3C59"/>
    <w:rsid w:val="005472C6"/>
    <w:rsid w:val="00570FC0"/>
    <w:rsid w:val="005839B8"/>
    <w:rsid w:val="00611387"/>
    <w:rsid w:val="00632C60"/>
    <w:rsid w:val="006B74DC"/>
    <w:rsid w:val="006F543E"/>
    <w:rsid w:val="00706616"/>
    <w:rsid w:val="00783E3B"/>
    <w:rsid w:val="00793AA3"/>
    <w:rsid w:val="007E694D"/>
    <w:rsid w:val="008260F9"/>
    <w:rsid w:val="00832E71"/>
    <w:rsid w:val="00840DDB"/>
    <w:rsid w:val="008929EF"/>
    <w:rsid w:val="008C2B9E"/>
    <w:rsid w:val="008D6B4B"/>
    <w:rsid w:val="008F36AC"/>
    <w:rsid w:val="00952633"/>
    <w:rsid w:val="009701B7"/>
    <w:rsid w:val="00987116"/>
    <w:rsid w:val="009E7A07"/>
    <w:rsid w:val="00A91F57"/>
    <w:rsid w:val="00A93BF4"/>
    <w:rsid w:val="00AE1A7B"/>
    <w:rsid w:val="00B23F88"/>
    <w:rsid w:val="00B358F7"/>
    <w:rsid w:val="00B77726"/>
    <w:rsid w:val="00B952B0"/>
    <w:rsid w:val="00BD53AB"/>
    <w:rsid w:val="00C60406"/>
    <w:rsid w:val="00C8774A"/>
    <w:rsid w:val="00D1237B"/>
    <w:rsid w:val="00D774BD"/>
    <w:rsid w:val="00D93386"/>
    <w:rsid w:val="00DB3D5B"/>
    <w:rsid w:val="00E37AA5"/>
    <w:rsid w:val="00EC1356"/>
    <w:rsid w:val="00ED5B06"/>
    <w:rsid w:val="00ED7DBC"/>
    <w:rsid w:val="00F131CE"/>
    <w:rsid w:val="00F4136D"/>
    <w:rsid w:val="00F5243C"/>
    <w:rsid w:val="00F935B5"/>
    <w:rsid w:val="00F972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customStyle="1" w:styleId="Default">
    <w:name w:val="Default"/>
    <w:rsid w:val="000D394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D3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7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8245A-F836-43C6-B6CE-3AF699A5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Standard.dotx</Template>
  <TotalTime>52</TotalTime>
  <Pages>3</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esoc</cp:lastModifiedBy>
  <cp:revision>16</cp:revision>
  <cp:lastPrinted>2015-06-13T12:06:00Z</cp:lastPrinted>
  <dcterms:created xsi:type="dcterms:W3CDTF">2015-05-13T11:53:00Z</dcterms:created>
  <dcterms:modified xsi:type="dcterms:W3CDTF">2015-10-29T12:07:00Z</dcterms:modified>
</cp:coreProperties>
</file>