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B" w:rsidRDefault="0096580E" w:rsidP="00F935B5">
      <w:pPr>
        <w:rPr>
          <w:szCs w:val="24"/>
        </w:rPr>
      </w:pPr>
      <w:r w:rsidRPr="001D5366">
        <w:rPr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5063706</wp:posOffset>
            </wp:positionH>
            <wp:positionV relativeFrom="paragraph">
              <wp:posOffset>-552091</wp:posOffset>
            </wp:positionV>
            <wp:extent cx="1164566" cy="1017917"/>
            <wp:effectExtent l="0" t="0" r="0" b="0"/>
            <wp:wrapSquare wrapText="bothSides"/>
            <wp:docPr id="7" name="Picture 5" descr="SSERC 5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 50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966">
        <w:rPr>
          <w:noProof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2141148</wp:posOffset>
            </wp:positionH>
            <wp:positionV relativeFrom="paragraph">
              <wp:posOffset>-603849</wp:posOffset>
            </wp:positionV>
            <wp:extent cx="2187407" cy="828136"/>
            <wp:effectExtent l="19050" t="0" r="1905" b="0"/>
            <wp:wrapSquare wrapText="bothSides"/>
            <wp:docPr id="9" name="Picture 12" descr="SFDF_logo_2012_blue_on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DF_logo_2012_blue_on_whi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966">
        <w:rPr>
          <w:noProof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-576173</wp:posOffset>
            </wp:positionH>
            <wp:positionV relativeFrom="paragraph">
              <wp:posOffset>-552091</wp:posOffset>
            </wp:positionV>
            <wp:extent cx="2132474" cy="655608"/>
            <wp:effectExtent l="19050" t="0" r="5080" b="0"/>
            <wp:wrapSquare wrapText="bothSides"/>
            <wp:docPr id="10" name="Picture 1" descr="Aber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rta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B4B" w:rsidRDefault="008D6B4B" w:rsidP="00F935B5">
      <w:pPr>
        <w:rPr>
          <w:szCs w:val="24"/>
        </w:rPr>
      </w:pPr>
    </w:p>
    <w:p w:rsidR="008D6B4B" w:rsidRDefault="008D6B4B" w:rsidP="00F935B5">
      <w:pPr>
        <w:rPr>
          <w:szCs w:val="24"/>
        </w:rPr>
      </w:pPr>
    </w:p>
    <w:p w:rsidR="008D6B4B" w:rsidRDefault="008D6B4B" w:rsidP="00F935B5">
      <w:pPr>
        <w:rPr>
          <w:szCs w:val="24"/>
        </w:rPr>
      </w:pPr>
    </w:p>
    <w:p w:rsidR="008D6B4B" w:rsidRDefault="008D6B4B" w:rsidP="00F935B5">
      <w:pPr>
        <w:rPr>
          <w:szCs w:val="24"/>
        </w:rPr>
      </w:pPr>
    </w:p>
    <w:p w:rsidR="008D6B4B" w:rsidRDefault="008D6B4B" w:rsidP="00F935B5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67"/>
      </w:tblGrid>
      <w:tr w:rsidR="008D6B4B" w:rsidRPr="00B0170F" w:rsidTr="00A91F57">
        <w:tc>
          <w:tcPr>
            <w:tcW w:w="0" w:type="auto"/>
          </w:tcPr>
          <w:p w:rsidR="008D6B4B" w:rsidRPr="00B0170F" w:rsidRDefault="00D774BD" w:rsidP="00F935B5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Food Chemistry</w:t>
            </w:r>
          </w:p>
        </w:tc>
      </w:tr>
      <w:tr w:rsidR="008D6B4B" w:rsidRPr="00B0170F" w:rsidTr="00A91F57">
        <w:trPr>
          <w:trHeight w:val="604"/>
        </w:trPr>
        <w:tc>
          <w:tcPr>
            <w:tcW w:w="0" w:type="auto"/>
          </w:tcPr>
          <w:p w:rsidR="008D6B4B" w:rsidRPr="00B0170F" w:rsidRDefault="00397FD1" w:rsidP="00F935B5">
            <w:pPr>
              <w:rPr>
                <w:rFonts w:eastAsia="Calibri" w:cs="Times New Roman"/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Maillard</w:t>
            </w:r>
            <w:proofErr w:type="spellEnd"/>
            <w:r>
              <w:rPr>
                <w:sz w:val="52"/>
                <w:szCs w:val="52"/>
              </w:rPr>
              <w:t xml:space="preserve"> reaction</w:t>
            </w:r>
          </w:p>
        </w:tc>
      </w:tr>
    </w:tbl>
    <w:p w:rsidR="008D6B4B" w:rsidRDefault="008D6B4B" w:rsidP="00F935B5">
      <w:pPr>
        <w:rPr>
          <w:szCs w:val="24"/>
        </w:rPr>
      </w:pPr>
    </w:p>
    <w:p w:rsidR="008D6B4B" w:rsidRDefault="00397FD1" w:rsidP="00F935B5">
      <w:pPr>
        <w:rPr>
          <w:szCs w:val="24"/>
        </w:rPr>
      </w:pPr>
      <w:r w:rsidRPr="00397FD1">
        <w:rPr>
          <w:noProof/>
          <w:szCs w:val="24"/>
          <w:lang w:eastAsia="en-GB"/>
        </w:rPr>
        <w:drawing>
          <wp:inline distT="0" distB="0" distL="0" distR="0">
            <wp:extent cx="2519816" cy="1562100"/>
            <wp:effectExtent l="0" t="0" r="0" b="0"/>
            <wp:docPr id="1" name="irc_mi" descr="http://www.candogseat-this.com/wp-content/uploads/2013/11/can-dogs-eat-raw-chicken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dogseat-this.com/wp-content/uploads/2013/11/can-dogs-eat-raw-chicken-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1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4B" w:rsidRDefault="00397FD1" w:rsidP="00F935B5">
      <w:pPr>
        <w:rPr>
          <w:szCs w:val="24"/>
        </w:rPr>
      </w:pPr>
      <w:r w:rsidRPr="00397FD1">
        <w:rPr>
          <w:noProof/>
          <w:szCs w:val="24"/>
          <w:lang w:eastAsia="en-GB"/>
        </w:rPr>
        <w:drawing>
          <wp:inline distT="0" distB="0" distL="0" distR="0">
            <wp:extent cx="2076450" cy="1808782"/>
            <wp:effectExtent l="0" t="0" r="0" b="1270"/>
            <wp:docPr id="2" name="irc_mi" descr="http://samonlinestore.emmcollwebdevelopers.com/wp-content/uploads/2014/10/cooked-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monlinestore.emmcollwebdevelopers.com/wp-content/uploads/2014/10/cooked-chick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4B" w:rsidRDefault="008D6B4B" w:rsidP="00F935B5">
      <w:pPr>
        <w:rPr>
          <w:szCs w:val="24"/>
        </w:rPr>
      </w:pPr>
    </w:p>
    <w:p w:rsidR="008D6B4B" w:rsidRDefault="008D6B4B" w:rsidP="00F935B5">
      <w:pPr>
        <w:rPr>
          <w:szCs w:val="24"/>
        </w:rPr>
      </w:pPr>
    </w:p>
    <w:p w:rsidR="008D6B4B" w:rsidRDefault="001D3ADC" w:rsidP="00F935B5">
      <w:pPr>
        <w:rPr>
          <w:szCs w:val="24"/>
        </w:rPr>
      </w:pPr>
      <w:r>
        <w:rPr>
          <w:noProof/>
          <w:szCs w:val="24"/>
          <w:lang w:eastAsia="en-GB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54.85pt;margin-top:23.3pt;width:170.5pt;height:62.05pt;z-index:251660288" adj="0" fillcolor="#31849b [2408]" stroked="f">
            <v:fill color2="#e36c0a [2409]" focus="100%" type="gradient"/>
            <v:shadow on="t" color="silver" opacity="52429f" offset="3pt,3pt"/>
            <v:textpath style="font-family:&quot;Times New Roman&quot;;v-text-kern:t" trim="t" fitpath="t" xscale="f" string="Pupil Guide"/>
            <w10:wrap type="square"/>
          </v:shape>
        </w:pict>
      </w:r>
      <w:r w:rsidR="000D3941">
        <w:rPr>
          <w:szCs w:val="24"/>
        </w:rPr>
        <w:br w:type="page"/>
      </w:r>
    </w:p>
    <w:p w:rsidR="007E694D" w:rsidRPr="007E694D" w:rsidRDefault="007E694D" w:rsidP="00F935B5">
      <w:pPr>
        <w:rPr>
          <w:b/>
        </w:rPr>
      </w:pPr>
      <w:r w:rsidRPr="007E694D">
        <w:rPr>
          <w:b/>
        </w:rPr>
        <w:lastRenderedPageBreak/>
        <w:t>Introduction</w:t>
      </w:r>
    </w:p>
    <w:p w:rsidR="005472C6" w:rsidRDefault="005472C6" w:rsidP="00F935B5">
      <w:pPr>
        <w:rPr>
          <w:rFonts w:cs="Times New Roman"/>
          <w:szCs w:val="24"/>
        </w:rPr>
      </w:pPr>
      <w:r w:rsidRPr="005472C6">
        <w:rPr>
          <w:rFonts w:cs="Times New Roman"/>
          <w:szCs w:val="24"/>
        </w:rPr>
        <w:t xml:space="preserve">Under certain conditions, reducing sugars may react with compounds bearing a free amino group and undergo a sequence of reactions known collectively as the </w:t>
      </w:r>
      <w:proofErr w:type="spellStart"/>
      <w:r w:rsidRPr="005472C6">
        <w:rPr>
          <w:rFonts w:cs="Times New Roman"/>
          <w:szCs w:val="24"/>
        </w:rPr>
        <w:t>Maillard</w:t>
      </w:r>
      <w:proofErr w:type="spellEnd"/>
      <w:r w:rsidRPr="005472C6">
        <w:rPr>
          <w:rFonts w:cs="Times New Roman"/>
          <w:szCs w:val="24"/>
        </w:rPr>
        <w:t xml:space="preserve"> reaction.</w:t>
      </w:r>
      <w:r>
        <w:rPr>
          <w:rFonts w:cs="Times New Roman"/>
          <w:szCs w:val="24"/>
        </w:rPr>
        <w:t xml:space="preserve"> The compounds formed add colour and aroma to foods. They are responsible for the browning of toast, the colour of coffee and the colour and aroma of roast meats.</w:t>
      </w:r>
    </w:p>
    <w:p w:rsidR="005472C6" w:rsidRDefault="005472C6" w:rsidP="00F935B5">
      <w:pPr>
        <w:rPr>
          <w:rFonts w:cs="Times New Roman"/>
          <w:szCs w:val="24"/>
        </w:rPr>
      </w:pPr>
      <w:r>
        <w:rPr>
          <w:rFonts w:cs="Times New Roman"/>
          <w:szCs w:val="24"/>
        </w:rPr>
        <w:t>In this investigation you will look at some of the reactions between sugars and amino acids.</w:t>
      </w:r>
    </w:p>
    <w:p w:rsidR="005472C6" w:rsidRDefault="005472C6" w:rsidP="00F935B5">
      <w:pPr>
        <w:rPr>
          <w:rFonts w:cs="Times New Roman"/>
          <w:szCs w:val="24"/>
        </w:rPr>
      </w:pPr>
    </w:p>
    <w:p w:rsidR="00D774BD" w:rsidRPr="00D774BD" w:rsidRDefault="00D774BD" w:rsidP="00F935B5">
      <w:pPr>
        <w:rPr>
          <w:rFonts w:cs="Times New Roman"/>
          <w:b/>
          <w:szCs w:val="24"/>
        </w:rPr>
      </w:pPr>
      <w:r w:rsidRPr="00D774BD">
        <w:rPr>
          <w:rFonts w:cs="Times New Roman"/>
          <w:b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774BD" w:rsidRPr="00D774BD" w:rsidTr="009C447F"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D-glucose</w:t>
            </w:r>
          </w:p>
        </w:tc>
        <w:tc>
          <w:tcPr>
            <w:tcW w:w="4621" w:type="dxa"/>
          </w:tcPr>
          <w:p w:rsidR="00D774BD" w:rsidRPr="00D774BD" w:rsidRDefault="005472C6" w:rsidP="00F935B5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L-Amino acids (6 or so different ones)</w:t>
            </w:r>
          </w:p>
        </w:tc>
      </w:tr>
      <w:tr w:rsidR="00D774BD" w:rsidRPr="00D774BD" w:rsidTr="009C447F"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Test tubes</w:t>
            </w:r>
          </w:p>
        </w:tc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Boiling water bath</w:t>
            </w:r>
          </w:p>
          <w:p w:rsidR="00D774BD" w:rsidRPr="00D774BD" w:rsidRDefault="00D774BD" w:rsidP="00F935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74BD" w:rsidRPr="00D774BD" w:rsidTr="009C447F"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Sodium carbonate</w:t>
            </w:r>
            <w:r w:rsidR="006F543E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Aluminium foil</w:t>
            </w:r>
          </w:p>
        </w:tc>
      </w:tr>
      <w:tr w:rsidR="00D774BD" w:rsidRPr="00D774BD" w:rsidTr="009C447F"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Access to a 2dp balance</w:t>
            </w:r>
          </w:p>
        </w:tc>
        <w:tc>
          <w:tcPr>
            <w:tcW w:w="4621" w:type="dxa"/>
          </w:tcPr>
          <w:p w:rsidR="00D774BD" w:rsidRPr="00D774BD" w:rsidRDefault="005472C6" w:rsidP="00F9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spatula</w:t>
            </w:r>
          </w:p>
        </w:tc>
      </w:tr>
    </w:tbl>
    <w:p w:rsidR="0005420F" w:rsidRDefault="0005420F" w:rsidP="00F935B5">
      <w:pPr>
        <w:rPr>
          <w:rFonts w:cs="Times New Roman"/>
          <w:szCs w:val="24"/>
        </w:rPr>
      </w:pPr>
    </w:p>
    <w:p w:rsidR="006F543E" w:rsidRDefault="006F543E" w:rsidP="00F935B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the </w:t>
      </w:r>
      <w:proofErr w:type="spellStart"/>
      <w:r>
        <w:rPr>
          <w:rFonts w:cs="Times New Roman"/>
          <w:szCs w:val="24"/>
        </w:rPr>
        <w:t>Maillard</w:t>
      </w:r>
      <w:proofErr w:type="spellEnd"/>
      <w:r>
        <w:rPr>
          <w:rFonts w:cs="Times New Roman"/>
          <w:szCs w:val="24"/>
        </w:rPr>
        <w:t xml:space="preserve"> reaction occurs more rapidly in alkaline conditions so the sodium carbonate is added to speed things up.</w:t>
      </w:r>
    </w:p>
    <w:p w:rsidR="00D774BD" w:rsidRPr="00D774BD" w:rsidRDefault="00D774BD" w:rsidP="00F935B5">
      <w:pPr>
        <w:rPr>
          <w:rFonts w:cs="Times New Roman"/>
          <w:b/>
          <w:szCs w:val="24"/>
        </w:rPr>
      </w:pPr>
      <w:r w:rsidRPr="00D774BD">
        <w:rPr>
          <w:rFonts w:cs="Times New Roman"/>
          <w:b/>
          <w:szCs w:val="24"/>
        </w:rPr>
        <w:t>Procedure</w:t>
      </w:r>
    </w:p>
    <w:p w:rsid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To 0.05 g</w:t>
      </w:r>
      <w:r w:rsidRPr="006F543E">
        <w:rPr>
          <w:rFonts w:cs="Times New Roman"/>
        </w:rPr>
        <w:t xml:space="preserve"> of d-glucose in a test tube add </w:t>
      </w:r>
      <w:r>
        <w:rPr>
          <w:rFonts w:cs="Times New Roman"/>
        </w:rPr>
        <w:t>0.05 g</w:t>
      </w:r>
      <w:r w:rsidRPr="006F543E">
        <w:rPr>
          <w:rFonts w:cs="Times New Roman"/>
        </w:rPr>
        <w:t xml:space="preserve"> </w:t>
      </w:r>
      <w:r>
        <w:rPr>
          <w:rFonts w:cs="Times New Roman"/>
        </w:rPr>
        <w:t>of an amino acid</w:t>
      </w:r>
      <w:r w:rsidRPr="006F543E">
        <w:rPr>
          <w:rFonts w:cs="Times New Roman"/>
        </w:rPr>
        <w:t xml:space="preserve"> </w:t>
      </w:r>
    </w:p>
    <w:p w:rsid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Add 1.0</w:t>
      </w:r>
      <w:r w:rsidRPr="006F543E">
        <w:rPr>
          <w:rFonts w:cs="Times New Roman"/>
        </w:rPr>
        <w:t xml:space="preserve"> ml of distilled water. Mix thoroughly.</w:t>
      </w:r>
      <w:r>
        <w:rPr>
          <w:rFonts w:cs="Times New Roman"/>
        </w:rPr>
        <w:t xml:space="preserve"> Cover the top with aluminium foil.</w:t>
      </w:r>
    </w:p>
    <w:p w:rsidR="006F543E" w:rsidRP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Repeat for all your other amino acids</w:t>
      </w:r>
    </w:p>
    <w:p w:rsid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 w:rsidRPr="006F543E">
        <w:rPr>
          <w:rFonts w:cs="Times New Roman"/>
        </w:rPr>
        <w:t xml:space="preserve">Smell each mixture and record any sensations. </w:t>
      </w:r>
    </w:p>
    <w:p w:rsid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 w:rsidRPr="006F543E">
        <w:rPr>
          <w:rFonts w:cs="Times New Roman"/>
        </w:rPr>
        <w:t xml:space="preserve">Place a piece of heavy aluminium foil over each test tube top and heat the solutions in a water bath at 100°C.  </w:t>
      </w:r>
      <w:r>
        <w:rPr>
          <w:rFonts w:cs="Times New Roman"/>
        </w:rPr>
        <w:t xml:space="preserve">You will rapidly start to see some of the tubes </w:t>
      </w:r>
      <w:proofErr w:type="spellStart"/>
      <w:r>
        <w:rPr>
          <w:rFonts w:cs="Times New Roman"/>
        </w:rPr>
        <w:t>develpping</w:t>
      </w:r>
      <w:proofErr w:type="spellEnd"/>
      <w:r>
        <w:rPr>
          <w:rFonts w:cs="Times New Roman"/>
        </w:rPr>
        <w:t xml:space="preserve"> a yellow-brown colour. L</w:t>
      </w:r>
    </w:p>
    <w:p w:rsidR="006F543E" w:rsidRDefault="006F543E" w:rsidP="00F935B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Leave the tubes in the water bath for 10 – 15 minutes. Remove them and allow to cool a little.</w:t>
      </w:r>
      <w:r w:rsidR="00E37AA5">
        <w:rPr>
          <w:rFonts w:cs="Times New Roman"/>
        </w:rPr>
        <w:t xml:space="preserve"> Then examine them.</w:t>
      </w:r>
    </w:p>
    <w:p w:rsidR="00E37AA5" w:rsidRPr="00E37AA5" w:rsidRDefault="00E37AA5" w:rsidP="00F935B5">
      <w:pPr>
        <w:rPr>
          <w:rFonts w:cs="Times New Roman"/>
          <w:b/>
        </w:rPr>
      </w:pPr>
      <w:r w:rsidRPr="00E37AA5">
        <w:rPr>
          <w:rFonts w:cs="Times New Roman"/>
          <w:b/>
        </w:rPr>
        <w:t>Your results</w:t>
      </w:r>
    </w:p>
    <w:p w:rsidR="00E37AA5" w:rsidRPr="00E37AA5" w:rsidRDefault="00E37AA5" w:rsidP="00F935B5">
      <w:pPr>
        <w:rPr>
          <w:rFonts w:cs="Times New Roman"/>
        </w:rPr>
      </w:pPr>
      <w:r>
        <w:rPr>
          <w:rFonts w:cs="Times New Roman"/>
        </w:rPr>
        <w:t>Qualitative</w:t>
      </w:r>
    </w:p>
    <w:p w:rsidR="006F543E" w:rsidRPr="006F543E" w:rsidRDefault="006F543E" w:rsidP="00F935B5">
      <w:pPr>
        <w:pStyle w:val="ListParagraph"/>
        <w:numPr>
          <w:ilvl w:val="0"/>
          <w:numId w:val="16"/>
        </w:numPr>
        <w:contextualSpacing w:val="0"/>
        <w:rPr>
          <w:rFonts w:cs="Times New Roman"/>
        </w:rPr>
      </w:pPr>
      <w:r w:rsidRPr="006F543E">
        <w:rPr>
          <w:rFonts w:cs="Times New Roman"/>
        </w:rPr>
        <w:t xml:space="preserve">Record the odour sensations for each solution (e.g. chocolate-like, potato-like, popcorn-like). </w:t>
      </w:r>
    </w:p>
    <w:p w:rsidR="00E37AA5" w:rsidRDefault="00E37AA5" w:rsidP="00F935B5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Record the colour as 0 = non</w:t>
      </w:r>
      <w:r w:rsidR="006F543E" w:rsidRPr="006F543E">
        <w:rPr>
          <w:rFonts w:cs="Times New Roman"/>
        </w:rPr>
        <w:t xml:space="preserve">e, 1 = light yellow, 2 = deep yellow, 3 = brown. </w:t>
      </w:r>
    </w:p>
    <w:p w:rsidR="003710C3" w:rsidRDefault="003710C3" w:rsidP="00F935B5">
      <w:pPr>
        <w:pStyle w:val="ListParagraph"/>
        <w:ind w:left="0"/>
        <w:contextualSpacing w:val="0"/>
        <w:rPr>
          <w:rFonts w:cs="Times New Roman"/>
        </w:rPr>
      </w:pPr>
    </w:p>
    <w:p w:rsidR="00E37AA5" w:rsidRDefault="00E37AA5" w:rsidP="00F935B5">
      <w:pPr>
        <w:pStyle w:val="ListParagraph"/>
        <w:ind w:left="0"/>
        <w:contextualSpacing w:val="0"/>
        <w:rPr>
          <w:rFonts w:cs="Times New Roman"/>
        </w:rPr>
      </w:pPr>
      <w:r>
        <w:rPr>
          <w:rFonts w:cs="Times New Roman"/>
        </w:rPr>
        <w:lastRenderedPageBreak/>
        <w:t>Quantitative</w:t>
      </w:r>
    </w:p>
    <w:p w:rsidR="00E37AA5" w:rsidRDefault="00E37AA5" w:rsidP="00F935B5">
      <w:pPr>
        <w:pStyle w:val="ListParagraph"/>
        <w:numPr>
          <w:ilvl w:val="0"/>
          <w:numId w:val="17"/>
        </w:numPr>
        <w:contextualSpacing w:val="0"/>
        <w:rPr>
          <w:rFonts w:cs="Times New Roman"/>
        </w:rPr>
      </w:pPr>
      <w:r>
        <w:rPr>
          <w:rFonts w:cs="Times New Roman"/>
        </w:rPr>
        <w:t xml:space="preserve">Dilute your solutions to 5 </w:t>
      </w:r>
      <w:r w:rsidRPr="00E37AA5">
        <w:rPr>
          <w:rFonts w:cs="Times New Roman"/>
        </w:rPr>
        <w:t>cm</w:t>
      </w:r>
      <w:r w:rsidRPr="00E37AA5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with distilled water.*</w:t>
      </w:r>
    </w:p>
    <w:p w:rsidR="00E37AA5" w:rsidRPr="00E37AA5" w:rsidRDefault="006F543E" w:rsidP="00F935B5">
      <w:pPr>
        <w:pStyle w:val="ListParagraph"/>
        <w:numPr>
          <w:ilvl w:val="0"/>
          <w:numId w:val="17"/>
        </w:numPr>
        <w:contextualSpacing w:val="0"/>
        <w:rPr>
          <w:rFonts w:cs="Times New Roman"/>
        </w:rPr>
      </w:pPr>
      <w:r w:rsidRPr="00E37AA5">
        <w:rPr>
          <w:rFonts w:cs="Times New Roman"/>
        </w:rPr>
        <w:t xml:space="preserve"> </w:t>
      </w:r>
      <w:r w:rsidR="00E37AA5" w:rsidRPr="00E37AA5">
        <w:rPr>
          <w:rFonts w:cs="Times New Roman"/>
        </w:rPr>
        <w:t>Transfer 3 cm</w:t>
      </w:r>
      <w:r w:rsidR="00E37AA5" w:rsidRPr="00E37AA5">
        <w:rPr>
          <w:rFonts w:cs="Times New Roman"/>
          <w:vertAlign w:val="superscript"/>
        </w:rPr>
        <w:t>3</w:t>
      </w:r>
      <w:r w:rsidR="00E37AA5" w:rsidRPr="00E37AA5">
        <w:rPr>
          <w:rFonts w:cs="Times New Roman"/>
        </w:rPr>
        <w:t xml:space="preserve"> of each sample to a </w:t>
      </w:r>
      <w:proofErr w:type="spellStart"/>
      <w:r w:rsidR="00E37AA5" w:rsidRPr="00E37AA5">
        <w:rPr>
          <w:rFonts w:cs="Times New Roman"/>
        </w:rPr>
        <w:t>cuvette</w:t>
      </w:r>
      <w:proofErr w:type="spellEnd"/>
      <w:r w:rsidR="00E37AA5" w:rsidRPr="00E37AA5">
        <w:rPr>
          <w:rFonts w:cs="Times New Roman"/>
        </w:rPr>
        <w:t xml:space="preserve"> and use a colorimeter to determine their absorbance at 400 nm. </w:t>
      </w:r>
      <w:r w:rsidR="003710C3">
        <w:rPr>
          <w:rFonts w:cs="Times New Roman"/>
        </w:rPr>
        <w:t xml:space="preserve">(Blue LED on the </w:t>
      </w:r>
      <w:proofErr w:type="spellStart"/>
      <w:r w:rsidR="003710C3">
        <w:rPr>
          <w:rFonts w:cs="Times New Roman"/>
        </w:rPr>
        <w:t>mystrica</w:t>
      </w:r>
      <w:proofErr w:type="spellEnd"/>
      <w:r w:rsidR="003710C3">
        <w:rPr>
          <w:rFonts w:cs="Times New Roman"/>
        </w:rPr>
        <w:t xml:space="preserve"> colorimeter)</w:t>
      </w:r>
    </w:p>
    <w:p w:rsidR="006F543E" w:rsidRPr="00E37AA5" w:rsidRDefault="00E37AA5" w:rsidP="00F935B5">
      <w:pPr>
        <w:ind w:left="360"/>
        <w:rPr>
          <w:rFonts w:cs="Times New Roman"/>
        </w:rPr>
      </w:pPr>
      <w:r>
        <w:rPr>
          <w:rFonts w:cs="Times New Roman"/>
        </w:rPr>
        <w:t xml:space="preserve">* </w:t>
      </w:r>
      <w:r w:rsidR="00F935B5">
        <w:rPr>
          <w:rFonts w:cs="Times New Roman"/>
        </w:rPr>
        <w:t xml:space="preserve">some of them, such as </w:t>
      </w:r>
      <w:proofErr w:type="spellStart"/>
      <w:r w:rsidR="00F935B5">
        <w:rPr>
          <w:rFonts w:cs="Times New Roman"/>
        </w:rPr>
        <w:t>arginine</w:t>
      </w:r>
      <w:proofErr w:type="spellEnd"/>
      <w:r w:rsidR="00F935B5">
        <w:rPr>
          <w:rFonts w:cs="Times New Roman"/>
        </w:rPr>
        <w:t xml:space="preserve"> and lysine may need</w:t>
      </w:r>
      <w:r w:rsidR="006F543E" w:rsidRPr="00E37AA5">
        <w:rPr>
          <w:rFonts w:cs="Times New Roman"/>
        </w:rPr>
        <w:t xml:space="preserve"> to be diluted</w:t>
      </w:r>
      <w:r w:rsidR="00F935B5">
        <w:rPr>
          <w:rFonts w:cs="Times New Roman"/>
        </w:rPr>
        <w:t xml:space="preserve"> more, possibly quite a lot more.</w:t>
      </w:r>
      <w:r w:rsidR="006F543E" w:rsidRPr="00E37AA5">
        <w:rPr>
          <w:rFonts w:cs="Times New Roman"/>
        </w:rPr>
        <w:t xml:space="preserve"> </w:t>
      </w:r>
    </w:p>
    <w:p w:rsidR="0005420F" w:rsidRDefault="0005420F" w:rsidP="00F935B5">
      <w:pPr>
        <w:rPr>
          <w:rFonts w:cs="Times New Roman"/>
          <w:b/>
        </w:rPr>
      </w:pPr>
    </w:p>
    <w:p w:rsidR="007E694D" w:rsidRDefault="007E694D" w:rsidP="00F935B5">
      <w:pPr>
        <w:rPr>
          <w:rFonts w:cs="Times New Roman"/>
          <w:b/>
        </w:rPr>
      </w:pPr>
      <w:r w:rsidRPr="00D774BD">
        <w:rPr>
          <w:rFonts w:cs="Times New Roman"/>
          <w:b/>
        </w:rPr>
        <w:t>Health &amp; Safety</w:t>
      </w:r>
    </w:p>
    <w:p w:rsidR="00987116" w:rsidRPr="00987116" w:rsidRDefault="00987116" w:rsidP="00F935B5">
      <w:pPr>
        <w:rPr>
          <w:rFonts w:cs="Times New Roman"/>
        </w:rPr>
      </w:pPr>
      <w:r w:rsidRPr="00987116">
        <w:rPr>
          <w:rFonts w:cs="Times New Roman"/>
        </w:rPr>
        <w:t>All the reagents are of low hazard.</w:t>
      </w:r>
    </w:p>
    <w:sectPr w:rsidR="00987116" w:rsidRPr="00987116" w:rsidSect="0005420F">
      <w:pgSz w:w="11906" w:h="16838"/>
      <w:pgMar w:top="1440" w:right="1440" w:bottom="1440" w:left="1440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DD17BF"/>
    <w:multiLevelType w:val="hybridMultilevel"/>
    <w:tmpl w:val="D61A4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817E0"/>
    <w:multiLevelType w:val="hybridMultilevel"/>
    <w:tmpl w:val="D61A4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C1271B"/>
    <w:multiLevelType w:val="hybridMultilevel"/>
    <w:tmpl w:val="D61A4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35E9C"/>
    <w:multiLevelType w:val="hybridMultilevel"/>
    <w:tmpl w:val="85987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0D3941"/>
    <w:rsid w:val="000136E7"/>
    <w:rsid w:val="0005420F"/>
    <w:rsid w:val="0007727A"/>
    <w:rsid w:val="00091334"/>
    <w:rsid w:val="000A3430"/>
    <w:rsid w:val="000B3595"/>
    <w:rsid w:val="000B5459"/>
    <w:rsid w:val="000D3941"/>
    <w:rsid w:val="000F0B77"/>
    <w:rsid w:val="001535D3"/>
    <w:rsid w:val="001677C8"/>
    <w:rsid w:val="00183575"/>
    <w:rsid w:val="001B1B53"/>
    <w:rsid w:val="001D3ADC"/>
    <w:rsid w:val="0020237C"/>
    <w:rsid w:val="00241B96"/>
    <w:rsid w:val="00271738"/>
    <w:rsid w:val="00295B88"/>
    <w:rsid w:val="002F7477"/>
    <w:rsid w:val="0031157A"/>
    <w:rsid w:val="003579C1"/>
    <w:rsid w:val="003710C3"/>
    <w:rsid w:val="00381B5A"/>
    <w:rsid w:val="00397FD1"/>
    <w:rsid w:val="003B2F17"/>
    <w:rsid w:val="003B3C4F"/>
    <w:rsid w:val="003C22F8"/>
    <w:rsid w:val="003C7344"/>
    <w:rsid w:val="00407744"/>
    <w:rsid w:val="00432D20"/>
    <w:rsid w:val="00462F40"/>
    <w:rsid w:val="004952AF"/>
    <w:rsid w:val="004A4A8E"/>
    <w:rsid w:val="004C3C59"/>
    <w:rsid w:val="005472C6"/>
    <w:rsid w:val="00570FC0"/>
    <w:rsid w:val="005839B8"/>
    <w:rsid w:val="00632C60"/>
    <w:rsid w:val="006F543E"/>
    <w:rsid w:val="00706616"/>
    <w:rsid w:val="00783E3B"/>
    <w:rsid w:val="007E694D"/>
    <w:rsid w:val="008260F9"/>
    <w:rsid w:val="00832E71"/>
    <w:rsid w:val="00840DDB"/>
    <w:rsid w:val="008929EF"/>
    <w:rsid w:val="008C2B9E"/>
    <w:rsid w:val="008D6B4B"/>
    <w:rsid w:val="008F36AC"/>
    <w:rsid w:val="00952633"/>
    <w:rsid w:val="0096580E"/>
    <w:rsid w:val="009701B7"/>
    <w:rsid w:val="00987116"/>
    <w:rsid w:val="009E7A07"/>
    <w:rsid w:val="00A26086"/>
    <w:rsid w:val="00A91F57"/>
    <w:rsid w:val="00A93BF4"/>
    <w:rsid w:val="00AE1A7B"/>
    <w:rsid w:val="00B23F88"/>
    <w:rsid w:val="00B358F7"/>
    <w:rsid w:val="00B77726"/>
    <w:rsid w:val="00B952B0"/>
    <w:rsid w:val="00BD53AB"/>
    <w:rsid w:val="00C60406"/>
    <w:rsid w:val="00C8774A"/>
    <w:rsid w:val="00D1237B"/>
    <w:rsid w:val="00D774BD"/>
    <w:rsid w:val="00D93386"/>
    <w:rsid w:val="00DB3D5B"/>
    <w:rsid w:val="00E37AA5"/>
    <w:rsid w:val="00EC1356"/>
    <w:rsid w:val="00ED5B06"/>
    <w:rsid w:val="00ED7DBC"/>
    <w:rsid w:val="00F4136D"/>
    <w:rsid w:val="00F5243C"/>
    <w:rsid w:val="00F935B5"/>
    <w:rsid w:val="00F9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D855E-4EB4-4878-883A-27746919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38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esoc</cp:lastModifiedBy>
  <cp:revision>16</cp:revision>
  <cp:lastPrinted>2015-06-13T12:06:00Z</cp:lastPrinted>
  <dcterms:created xsi:type="dcterms:W3CDTF">2015-05-13T11:53:00Z</dcterms:created>
  <dcterms:modified xsi:type="dcterms:W3CDTF">2015-10-29T12:07:00Z</dcterms:modified>
</cp:coreProperties>
</file>