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5C" w:rsidRPr="004E21DC" w:rsidRDefault="00AE785C" w:rsidP="00AE785C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-348615</wp:posOffset>
            </wp:positionV>
            <wp:extent cx="972820" cy="974725"/>
            <wp:effectExtent l="19050" t="0" r="0" b="0"/>
            <wp:wrapSquare wrapText="bothSides"/>
            <wp:docPr id="3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5C" w:rsidRDefault="00AE785C" w:rsidP="00AE785C"/>
    <w:tbl>
      <w:tblPr>
        <w:tblpPr w:leftFromText="187" w:rightFromText="187" w:vertAnchor="page" w:horzAnchor="margin" w:tblpXSpec="right" w:tblpY="4782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91"/>
      </w:tblGrid>
      <w:tr w:rsidR="00AE785C" w:rsidRPr="00036364" w:rsidTr="000B4C02">
        <w:tc>
          <w:tcPr>
            <w:tcW w:w="0" w:type="auto"/>
          </w:tcPr>
          <w:p w:rsidR="00AE785C" w:rsidRPr="00036364" w:rsidRDefault="00AE785C" w:rsidP="000B4C02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>Chemical Demonstrations</w:t>
            </w:r>
          </w:p>
        </w:tc>
      </w:tr>
      <w:tr w:rsidR="00AE785C" w:rsidRPr="00036364" w:rsidTr="000B4C02">
        <w:trPr>
          <w:trHeight w:val="1623"/>
        </w:trPr>
        <w:tc>
          <w:tcPr>
            <w:tcW w:w="0" w:type="auto"/>
          </w:tcPr>
          <w:p w:rsidR="00AE785C" w:rsidRPr="00036364" w:rsidRDefault="00DE1C06" w:rsidP="000B4C02">
            <w:pPr>
              <w:pStyle w:val="NoSpacing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Colour change chameleon</w:t>
            </w:r>
          </w:p>
        </w:tc>
      </w:tr>
    </w:tbl>
    <w:p w:rsidR="00AE785C" w:rsidRDefault="00AE785C" w:rsidP="00AE785C"/>
    <w:p w:rsidR="00AE785C" w:rsidRDefault="00DE1C06" w:rsidP="00AE785C">
      <w:pPr>
        <w:rPr>
          <w:rFonts w:eastAsiaTheme="majorEastAsia" w:cstheme="majorBidi"/>
          <w:spacing w:val="5"/>
          <w:kern w:val="28"/>
          <w:sz w:val="48"/>
          <w:szCs w:val="52"/>
        </w:rPr>
      </w:pP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1374140</wp:posOffset>
            </wp:positionV>
            <wp:extent cx="2835910" cy="2924175"/>
            <wp:effectExtent l="1905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084" w:rsidRPr="009E0084">
        <w:rPr>
          <w:noProof/>
          <w:sz w:val="72"/>
          <w:szCs w:val="7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9pt;margin-top:620.9pt;width:378.7pt;height:83.5pt;z-index:-251657216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next-textbox:#_x0000_s1028;mso-fit-shape-to-text:t">
              <w:txbxContent>
                <w:p w:rsidR="00DE1C06" w:rsidRDefault="002C1E88" w:rsidP="00AE785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696C69">
                    <w:rPr>
                      <w:b/>
                      <w:sz w:val="28"/>
                      <w:szCs w:val="28"/>
                    </w:rPr>
                    <w:t>CfE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Advanced Higher </w:t>
                  </w:r>
                  <w:r w:rsidR="00DE1C06">
                    <w:rPr>
                      <w:sz w:val="28"/>
                      <w:szCs w:val="28"/>
                    </w:rPr>
                    <w:t xml:space="preserve"> – </w:t>
                  </w:r>
                </w:p>
                <w:p w:rsidR="00DE1C06" w:rsidRPr="00696C69" w:rsidRDefault="00DE1C06" w:rsidP="00696C69">
                  <w:pPr>
                    <w:ind w:firstLine="720"/>
                    <w:rPr>
                      <w:b/>
                      <w:sz w:val="28"/>
                      <w:szCs w:val="28"/>
                    </w:rPr>
                  </w:pPr>
                  <w:r w:rsidRPr="00696C69">
                    <w:rPr>
                      <w:b/>
                      <w:sz w:val="28"/>
                      <w:szCs w:val="28"/>
                    </w:rPr>
                    <w:t>Inorganic and Physical Chemistry</w:t>
                  </w:r>
                </w:p>
                <w:p w:rsidR="00DE1C06" w:rsidRPr="00696C69" w:rsidRDefault="00DE1C06" w:rsidP="00696C69">
                  <w:pPr>
                    <w:ind w:left="720" w:firstLine="720"/>
                    <w:rPr>
                      <w:bCs/>
                      <w:sz w:val="28"/>
                      <w:szCs w:val="28"/>
                    </w:rPr>
                  </w:pPr>
                  <w:r w:rsidRPr="00696C69">
                    <w:rPr>
                      <w:bCs/>
                      <w:sz w:val="28"/>
                      <w:szCs w:val="28"/>
                    </w:rPr>
                    <w:t>Oxidation states of transition metals</w:t>
                  </w:r>
                </w:p>
              </w:txbxContent>
            </v:textbox>
            <w10:wrap type="tight" anchory="page"/>
          </v:shape>
        </w:pict>
      </w:r>
      <w:r w:rsidRPr="00DE1C06">
        <w:rPr>
          <w:noProof/>
          <w:lang w:eastAsia="en-GB"/>
        </w:rPr>
        <w:t xml:space="preserve"> </w:t>
      </w:r>
      <w:r w:rsidR="00AE785C" w:rsidRPr="00A64E7D">
        <w:rPr>
          <w:szCs w:val="28"/>
        </w:rPr>
        <w:t xml:space="preserve"> </w:t>
      </w:r>
      <w:r w:rsidR="00AE785C">
        <w:rPr>
          <w:b/>
          <w:bCs/>
          <w:sz w:val="28"/>
          <w:szCs w:val="28"/>
        </w:rPr>
        <w:br w:type="page"/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lastRenderedPageBreak/>
        <w:t>Introduction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 xml:space="preserve">When a very dilute, alkaline solution of potassium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 is slowly reduced by sucrose a beautiful range of colours is traversed as the manganese passes through different oxidation states, starting from purple/violet and ending in yellow/brown.</w:t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E1C06" w:rsidRPr="00DE1C06" w:rsidTr="00DE1C06">
        <w:tc>
          <w:tcPr>
            <w:tcW w:w="4621" w:type="dxa"/>
          </w:tcPr>
          <w:p w:rsidR="00DE1C06" w:rsidRPr="00DE1C06" w:rsidRDefault="00DE1C06" w:rsidP="00DE1C06">
            <w:pPr>
              <w:rPr>
                <w:kern w:val="28"/>
                <w:sz w:val="24"/>
                <w:szCs w:val="24"/>
              </w:rPr>
            </w:pPr>
            <w:r w:rsidRPr="00DE1C06">
              <w:rPr>
                <w:kern w:val="28"/>
                <w:sz w:val="24"/>
                <w:szCs w:val="24"/>
              </w:rPr>
              <w:t>1 x 250 cm</w:t>
            </w:r>
            <w:r w:rsidRPr="00113B31">
              <w:rPr>
                <w:kern w:val="28"/>
                <w:sz w:val="24"/>
                <w:szCs w:val="24"/>
                <w:vertAlign w:val="superscript"/>
              </w:rPr>
              <w:t>3</w:t>
            </w:r>
            <w:r w:rsidRPr="00DE1C06">
              <w:rPr>
                <w:kern w:val="28"/>
                <w:sz w:val="24"/>
                <w:szCs w:val="24"/>
              </w:rPr>
              <w:t xml:space="preserve"> flask / beaker</w:t>
            </w:r>
          </w:p>
        </w:tc>
        <w:tc>
          <w:tcPr>
            <w:tcW w:w="4621" w:type="dxa"/>
          </w:tcPr>
          <w:p w:rsidR="00DE1C06" w:rsidRPr="00DE1C06" w:rsidRDefault="00DE1C06" w:rsidP="00DE1C06">
            <w:pPr>
              <w:rPr>
                <w:kern w:val="28"/>
                <w:sz w:val="24"/>
                <w:szCs w:val="24"/>
              </w:rPr>
            </w:pPr>
            <w:proofErr w:type="spellStart"/>
            <w:r w:rsidRPr="00DE1C06">
              <w:rPr>
                <w:kern w:val="28"/>
                <w:sz w:val="24"/>
                <w:szCs w:val="24"/>
              </w:rPr>
              <w:t>magmestic</w:t>
            </w:r>
            <w:proofErr w:type="spellEnd"/>
            <w:r w:rsidRPr="00DE1C06">
              <w:rPr>
                <w:kern w:val="28"/>
                <w:sz w:val="24"/>
                <w:szCs w:val="24"/>
              </w:rPr>
              <w:t xml:space="preserve"> stirrer (optional)</w:t>
            </w:r>
          </w:p>
        </w:tc>
      </w:tr>
      <w:tr w:rsidR="00DE1C06" w:rsidRPr="00DE1C06" w:rsidTr="00DE1C06">
        <w:tc>
          <w:tcPr>
            <w:tcW w:w="4621" w:type="dxa"/>
          </w:tcPr>
          <w:p w:rsidR="00DE1C06" w:rsidRPr="00DE1C06" w:rsidRDefault="00DE1C06" w:rsidP="00DE1C06">
            <w:pPr>
              <w:rPr>
                <w:kern w:val="28"/>
                <w:sz w:val="24"/>
                <w:szCs w:val="24"/>
              </w:rPr>
            </w:pPr>
            <w:r w:rsidRPr="00DE1C06">
              <w:rPr>
                <w:kern w:val="28"/>
                <w:sz w:val="24"/>
                <w:szCs w:val="24"/>
              </w:rPr>
              <w:t xml:space="preserve">potassium </w:t>
            </w:r>
            <w:proofErr w:type="spellStart"/>
            <w:r w:rsidRPr="00DE1C06">
              <w:rPr>
                <w:kern w:val="28"/>
                <w:sz w:val="24"/>
                <w:szCs w:val="24"/>
              </w:rPr>
              <w:t>manganate</w:t>
            </w:r>
            <w:proofErr w:type="spellEnd"/>
            <w:r w:rsidRPr="00DE1C06">
              <w:rPr>
                <w:kern w:val="28"/>
                <w:sz w:val="24"/>
                <w:szCs w:val="24"/>
              </w:rPr>
              <w:t xml:space="preserve"> VII</w:t>
            </w:r>
          </w:p>
        </w:tc>
        <w:tc>
          <w:tcPr>
            <w:tcW w:w="4621" w:type="dxa"/>
          </w:tcPr>
          <w:p w:rsidR="00DE1C06" w:rsidRPr="00DE1C06" w:rsidRDefault="00DE1C06" w:rsidP="00DE1C06">
            <w:pPr>
              <w:rPr>
                <w:kern w:val="28"/>
                <w:sz w:val="24"/>
                <w:szCs w:val="24"/>
              </w:rPr>
            </w:pPr>
            <w:r w:rsidRPr="00DE1C06">
              <w:rPr>
                <w:kern w:val="28"/>
                <w:sz w:val="24"/>
                <w:szCs w:val="24"/>
              </w:rPr>
              <w:t>Sodium hydroxide</w:t>
            </w:r>
          </w:p>
        </w:tc>
      </w:tr>
      <w:tr w:rsidR="00DE1C06" w:rsidRPr="00DE1C06" w:rsidTr="00DE1C06">
        <w:tc>
          <w:tcPr>
            <w:tcW w:w="4621" w:type="dxa"/>
          </w:tcPr>
          <w:p w:rsidR="00DE1C06" w:rsidRPr="00DE1C06" w:rsidRDefault="00DE1C06" w:rsidP="00DE1C06">
            <w:pPr>
              <w:rPr>
                <w:kern w:val="28"/>
                <w:sz w:val="24"/>
                <w:szCs w:val="24"/>
              </w:rPr>
            </w:pPr>
            <w:r w:rsidRPr="00DE1C06">
              <w:rPr>
                <w:kern w:val="28"/>
                <w:sz w:val="24"/>
                <w:szCs w:val="24"/>
              </w:rPr>
              <w:t>sucrose</w:t>
            </w:r>
          </w:p>
        </w:tc>
        <w:tc>
          <w:tcPr>
            <w:tcW w:w="4621" w:type="dxa"/>
          </w:tcPr>
          <w:p w:rsidR="00DE1C06" w:rsidRPr="00DE1C06" w:rsidRDefault="00DE1C06" w:rsidP="00DE1C06">
            <w:pPr>
              <w:rPr>
                <w:kern w:val="28"/>
                <w:sz w:val="24"/>
                <w:szCs w:val="24"/>
              </w:rPr>
            </w:pPr>
          </w:p>
        </w:tc>
      </w:tr>
    </w:tbl>
    <w:p w:rsidR="00DE1C06" w:rsidRPr="00DE1C06" w:rsidRDefault="00DE1C06" w:rsidP="00DE1C06">
      <w:pPr>
        <w:rPr>
          <w:kern w:val="28"/>
          <w:szCs w:val="24"/>
        </w:rPr>
      </w:pP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>To Do</w:t>
      </w:r>
    </w:p>
    <w:p w:rsidR="00DE1C06" w:rsidRPr="00DE1C06" w:rsidRDefault="00DE1C06" w:rsidP="00DE1C06">
      <w:pPr>
        <w:rPr>
          <w:b/>
          <w:kern w:val="28"/>
          <w:szCs w:val="24"/>
        </w:rPr>
      </w:pPr>
      <w:r>
        <w:rPr>
          <w:b/>
          <w:kern w:val="28"/>
          <w:szCs w:val="24"/>
        </w:rPr>
        <w:t>P</w:t>
      </w:r>
      <w:r w:rsidRPr="00DE1C06">
        <w:rPr>
          <w:b/>
          <w:kern w:val="28"/>
          <w:szCs w:val="24"/>
        </w:rPr>
        <w:t>reparation</w:t>
      </w:r>
    </w:p>
    <w:p w:rsidR="00DE1C06" w:rsidRPr="00DE1C06" w:rsidRDefault="00DE1C06" w:rsidP="00DE1C06">
      <w:pPr>
        <w:ind w:left="426" w:hanging="426"/>
        <w:rPr>
          <w:kern w:val="28"/>
          <w:szCs w:val="24"/>
        </w:rPr>
      </w:pPr>
      <w:r w:rsidRPr="00DE1C06">
        <w:rPr>
          <w:kern w:val="28"/>
          <w:szCs w:val="24"/>
        </w:rPr>
        <w:t xml:space="preserve">a. </w:t>
      </w:r>
      <w:r>
        <w:rPr>
          <w:kern w:val="28"/>
          <w:szCs w:val="24"/>
        </w:rPr>
        <w:tab/>
      </w:r>
      <w:r w:rsidRPr="00DE1C06">
        <w:rPr>
          <w:kern w:val="28"/>
          <w:szCs w:val="24"/>
        </w:rPr>
        <w:t xml:space="preserve">0.0025M potassium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 solution – Dissolve 10mg of potassium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 in 25 cm</w:t>
      </w:r>
      <w:r w:rsidRPr="00DE1C06">
        <w:rPr>
          <w:kern w:val="28"/>
          <w:szCs w:val="24"/>
          <w:vertAlign w:val="superscript"/>
        </w:rPr>
        <w:t>3</w:t>
      </w:r>
      <w:r w:rsidRPr="00DE1C06">
        <w:rPr>
          <w:kern w:val="28"/>
          <w:szCs w:val="24"/>
        </w:rPr>
        <w:t xml:space="preserve"> water</w:t>
      </w:r>
    </w:p>
    <w:p w:rsidR="00DE1C06" w:rsidRPr="00DE1C06" w:rsidRDefault="00DE1C06" w:rsidP="00DE1C06">
      <w:pPr>
        <w:ind w:left="426" w:hanging="426"/>
        <w:rPr>
          <w:kern w:val="28"/>
          <w:szCs w:val="24"/>
        </w:rPr>
      </w:pPr>
      <w:r>
        <w:rPr>
          <w:kern w:val="28"/>
          <w:szCs w:val="24"/>
        </w:rPr>
        <w:t xml:space="preserve">b. </w:t>
      </w:r>
      <w:r>
        <w:rPr>
          <w:kern w:val="28"/>
          <w:szCs w:val="24"/>
        </w:rPr>
        <w:tab/>
      </w:r>
      <w:r w:rsidRPr="00DE1C06">
        <w:rPr>
          <w:kern w:val="28"/>
          <w:szCs w:val="24"/>
        </w:rPr>
        <w:t xml:space="preserve">Make up 0.015M </w:t>
      </w:r>
      <w:proofErr w:type="spellStart"/>
      <w:r w:rsidRPr="00DE1C06">
        <w:rPr>
          <w:kern w:val="28"/>
          <w:szCs w:val="24"/>
        </w:rPr>
        <w:t>NaOH</w:t>
      </w:r>
      <w:proofErr w:type="spellEnd"/>
      <w:r w:rsidRPr="00DE1C06">
        <w:rPr>
          <w:kern w:val="28"/>
          <w:szCs w:val="24"/>
        </w:rPr>
        <w:t xml:space="preserve"> (0.6g in 1litre of distilled water)</w:t>
      </w:r>
    </w:p>
    <w:p w:rsidR="00DE1C06" w:rsidRPr="00DE1C06" w:rsidRDefault="00DE1C06" w:rsidP="00DE1C06">
      <w:pPr>
        <w:ind w:left="426"/>
        <w:rPr>
          <w:kern w:val="28"/>
          <w:szCs w:val="24"/>
        </w:rPr>
      </w:pPr>
      <w:r w:rsidRPr="00DE1C06">
        <w:rPr>
          <w:kern w:val="28"/>
          <w:szCs w:val="24"/>
        </w:rPr>
        <w:t>Dissolve sucrose in the sodium hydroxide solution at a rate of 0.8g per 100 cm</w:t>
      </w:r>
      <w:r w:rsidRPr="00DE1C06">
        <w:rPr>
          <w:kern w:val="28"/>
          <w:szCs w:val="24"/>
          <w:vertAlign w:val="superscript"/>
        </w:rPr>
        <w:t xml:space="preserve">3 </w:t>
      </w:r>
      <w:r w:rsidRPr="00DE1C06">
        <w:rPr>
          <w:kern w:val="28"/>
          <w:szCs w:val="24"/>
        </w:rPr>
        <w:t>(2g in 250 cm</w:t>
      </w:r>
      <w:r w:rsidRPr="00DE1C06">
        <w:rPr>
          <w:kern w:val="28"/>
          <w:szCs w:val="24"/>
          <w:vertAlign w:val="superscript"/>
        </w:rPr>
        <w:t>3</w:t>
      </w:r>
      <w:r w:rsidRPr="00DE1C06">
        <w:rPr>
          <w:kern w:val="28"/>
          <w:szCs w:val="24"/>
        </w:rPr>
        <w:t>)</w:t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>The demonstration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 xml:space="preserve">Place the flask of alkaline sucrose on the stirrer and pour in the potassium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VII. </w:t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t xml:space="preserve">Safety </w:t>
      </w:r>
    </w:p>
    <w:p w:rsidR="00DE1C06" w:rsidRDefault="00DE1C06" w:rsidP="00DE1C06">
      <w:pPr>
        <w:rPr>
          <w:kern w:val="28"/>
          <w:szCs w:val="24"/>
        </w:rPr>
      </w:pPr>
      <w:r>
        <w:rPr>
          <w:kern w:val="28"/>
          <w:szCs w:val="24"/>
        </w:rPr>
        <w:t xml:space="preserve">Sodium hydroxide is corrosive so solutions should be made up with care. </w:t>
      </w:r>
    </w:p>
    <w:p w:rsidR="00DE1C06" w:rsidRDefault="00DE1C06" w:rsidP="00DE1C06">
      <w:pPr>
        <w:rPr>
          <w:kern w:val="28"/>
          <w:szCs w:val="24"/>
        </w:rPr>
      </w:pPr>
      <w:r>
        <w:rPr>
          <w:kern w:val="28"/>
          <w:szCs w:val="24"/>
        </w:rPr>
        <w:t xml:space="preserve">Potassium </w:t>
      </w:r>
      <w:proofErr w:type="spellStart"/>
      <w:r>
        <w:rPr>
          <w:kern w:val="28"/>
          <w:szCs w:val="24"/>
        </w:rPr>
        <w:t>manganate</w:t>
      </w:r>
      <w:proofErr w:type="spellEnd"/>
      <w:r>
        <w:rPr>
          <w:kern w:val="28"/>
          <w:szCs w:val="24"/>
        </w:rPr>
        <w:t xml:space="preserve"> VII is a powerful oxidising agent. Keep away from flammable materials.</w:t>
      </w:r>
    </w:p>
    <w:p w:rsidR="00DE1C06" w:rsidRPr="00DE1C06" w:rsidRDefault="00DE1C06" w:rsidP="00DE1C06">
      <w:pPr>
        <w:rPr>
          <w:kern w:val="28"/>
          <w:szCs w:val="24"/>
        </w:rPr>
      </w:pPr>
      <w:r>
        <w:rPr>
          <w:kern w:val="28"/>
          <w:szCs w:val="24"/>
        </w:rPr>
        <w:t>The solutions are of low hazard.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>The solution will soon go from purple to blue and then from blue to green. Then, over the next few minutes, the green will slowly change to yellow.</w:t>
      </w:r>
    </w:p>
    <w:p w:rsidR="00CD0732" w:rsidRDefault="00CD0732" w:rsidP="00DE1C06">
      <w:pPr>
        <w:rPr>
          <w:b/>
          <w:kern w:val="28"/>
          <w:szCs w:val="24"/>
        </w:rPr>
      </w:pPr>
    </w:p>
    <w:p w:rsidR="00CD0732" w:rsidRDefault="00CD0732">
      <w:pPr>
        <w:rPr>
          <w:b/>
          <w:kern w:val="28"/>
          <w:szCs w:val="24"/>
        </w:rPr>
      </w:pPr>
      <w:r>
        <w:rPr>
          <w:b/>
          <w:kern w:val="28"/>
          <w:szCs w:val="24"/>
        </w:rPr>
        <w:t>Notes</w:t>
      </w:r>
    </w:p>
    <w:p w:rsidR="00CD0732" w:rsidRDefault="00CD0732">
      <w:pPr>
        <w:rPr>
          <w:kern w:val="28"/>
          <w:szCs w:val="24"/>
        </w:rPr>
      </w:pPr>
      <w:r w:rsidRPr="00CD0732">
        <w:rPr>
          <w:kern w:val="28"/>
          <w:szCs w:val="24"/>
        </w:rPr>
        <w:t xml:space="preserve">If the reaction is </w:t>
      </w:r>
      <w:r>
        <w:rPr>
          <w:kern w:val="28"/>
          <w:szCs w:val="24"/>
        </w:rPr>
        <w:t>going too fast, reduce the concentration of the hydroxide solution.</w:t>
      </w:r>
    </w:p>
    <w:p w:rsidR="00CD0732" w:rsidRPr="00CD0732" w:rsidRDefault="00CD0732">
      <w:pPr>
        <w:rPr>
          <w:b/>
          <w:kern w:val="28"/>
          <w:szCs w:val="24"/>
        </w:rPr>
      </w:pPr>
      <w:r>
        <w:rPr>
          <w:kern w:val="28"/>
          <w:szCs w:val="24"/>
        </w:rPr>
        <w:t xml:space="preserve">Adding too much </w:t>
      </w:r>
      <w:proofErr w:type="spellStart"/>
      <w:r>
        <w:rPr>
          <w:kern w:val="28"/>
          <w:szCs w:val="24"/>
        </w:rPr>
        <w:t>manganate</w:t>
      </w:r>
      <w:proofErr w:type="spellEnd"/>
      <w:r>
        <w:rPr>
          <w:kern w:val="28"/>
          <w:szCs w:val="24"/>
        </w:rPr>
        <w:t xml:space="preserve"> VII solution can make the solution too dark to see the colour changes clearly.</w:t>
      </w:r>
      <w:r w:rsidRPr="00CD0732">
        <w:rPr>
          <w:b/>
          <w:kern w:val="28"/>
          <w:szCs w:val="24"/>
        </w:rPr>
        <w:br w:type="page"/>
      </w:r>
    </w:p>
    <w:p w:rsidR="00DE1C06" w:rsidRPr="00DE1C06" w:rsidRDefault="00DE1C06" w:rsidP="00DE1C06">
      <w:pPr>
        <w:rPr>
          <w:b/>
          <w:kern w:val="28"/>
          <w:szCs w:val="24"/>
        </w:rPr>
      </w:pPr>
      <w:r w:rsidRPr="00DE1C06">
        <w:rPr>
          <w:b/>
          <w:kern w:val="28"/>
          <w:szCs w:val="24"/>
        </w:rPr>
        <w:lastRenderedPageBreak/>
        <w:t>What is happening?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noProof/>
          <w:kern w:val="28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21590</wp:posOffset>
            </wp:positionV>
            <wp:extent cx="2922270" cy="1276350"/>
            <wp:effectExtent l="19050" t="0" r="0" b="0"/>
            <wp:wrapTight wrapText="bothSides">
              <wp:wrapPolygon edited="0">
                <wp:start x="-141" y="0"/>
                <wp:lineTo x="-141" y="21278"/>
                <wp:lineTo x="21544" y="21278"/>
                <wp:lineTo x="21544" y="0"/>
                <wp:lineTo x="-141" y="0"/>
              </wp:wrapPolygon>
            </wp:wrapTight>
            <wp:docPr id="5" name="Picture 6" descr="http://woelen.homescience.net/science/chem/exps/chameleon/saccha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elen.homescience.net/science/chem/exps/chameleon/saccharo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084" w:rsidRPr="009E0084">
        <w:rPr>
          <w:kern w:val="28"/>
          <w:szCs w:val="24"/>
          <w:lang w:val="en-US"/>
        </w:rPr>
        <w:pict>
          <v:shape id="_x0000_s1032" type="#_x0000_t202" style="position:absolute;margin-left:251.55pt;margin-top:104.95pt;width:180.45pt;height:18.7pt;z-index:251664384;mso-width-percent:400;mso-position-horizontal-relative:text;mso-position-vertical-relative:text;mso-width-percent:400;mso-width-relative:margin;mso-height-relative:margin" stroked="f">
            <v:textbox inset=".5mm,0,.5mm,0">
              <w:txbxContent>
                <w:p w:rsidR="00DE1C06" w:rsidRDefault="00DE1C06" w:rsidP="00DE1C06">
                  <w:pPr>
                    <w:jc w:val="center"/>
                  </w:pPr>
                  <w:r>
                    <w:t>Sucrose</w:t>
                  </w:r>
                </w:p>
              </w:txbxContent>
            </v:textbox>
          </v:shape>
        </w:pic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 is slowly reduced by sugar in alkaline environments. Sugar is an organic compound, having many -OH groups, attached to carbon atoms, which also have a hydrogen atom attached directly to it. Such organic compounds, containing –C(H)(OH)– structures (secondary alcohol groups) are easily oxidized.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 xml:space="preserve">The oxidation of the –C(H)(OH)– structure is as follows, where the alcohol-group is oxidized to a </w:t>
      </w:r>
      <w:proofErr w:type="spellStart"/>
      <w:r w:rsidRPr="00DE1C06">
        <w:rPr>
          <w:kern w:val="28"/>
          <w:szCs w:val="24"/>
        </w:rPr>
        <w:t>ketone</w:t>
      </w:r>
      <w:proofErr w:type="spellEnd"/>
      <w:r w:rsidRPr="00DE1C06">
        <w:rPr>
          <w:kern w:val="28"/>
          <w:szCs w:val="24"/>
        </w:rPr>
        <w:t>-group: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>    –C(H)(OH)– + 2OH</w:t>
      </w:r>
      <w:r w:rsidRPr="00DE1C06">
        <w:rPr>
          <w:kern w:val="28"/>
          <w:szCs w:val="24"/>
          <w:vertAlign w:val="superscript"/>
        </w:rPr>
        <w:t>–</w:t>
      </w:r>
      <w:r w:rsidRPr="00DE1C06">
        <w:rPr>
          <w:kern w:val="28"/>
          <w:szCs w:val="24"/>
        </w:rPr>
        <w:t>  → –C(=O)– + 2H</w:t>
      </w:r>
      <w:r w:rsidRPr="00DE1C06">
        <w:rPr>
          <w:kern w:val="28"/>
          <w:szCs w:val="24"/>
          <w:vertAlign w:val="subscript"/>
        </w:rPr>
        <w:t>2</w:t>
      </w:r>
      <w:r w:rsidRPr="00DE1C06">
        <w:rPr>
          <w:kern w:val="28"/>
          <w:szCs w:val="24"/>
        </w:rPr>
        <w:t>O + 2e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>This reaction requires hydroxide ions. The observed speed of the reaction indeed is strongly depending on the concentration of sodium hydroxide. When a lot of sodium hydroxide is dissolved, e.g. a teaspoon full of solid, then the first part of the reaction only takes a few seconds instead of tens of seconds.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 xml:space="preserve">In alkaline environments,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 ion first is reduced to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ion: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>    MnO</w:t>
      </w:r>
      <w:r w:rsidRPr="00DE1C06">
        <w:rPr>
          <w:kern w:val="28"/>
          <w:szCs w:val="24"/>
          <w:vertAlign w:val="subscript"/>
        </w:rPr>
        <w:t>4</w:t>
      </w:r>
      <w:r w:rsidRPr="00DE1C06">
        <w:rPr>
          <w:kern w:val="28"/>
          <w:szCs w:val="24"/>
          <w:vertAlign w:val="superscript"/>
        </w:rPr>
        <w:t>–</w:t>
      </w:r>
      <w:r w:rsidRPr="00DE1C06">
        <w:rPr>
          <w:kern w:val="28"/>
          <w:szCs w:val="24"/>
        </w:rPr>
        <w:t> + e → MnO</w:t>
      </w:r>
      <w:r w:rsidRPr="00DE1C06">
        <w:rPr>
          <w:kern w:val="28"/>
          <w:szCs w:val="24"/>
          <w:vertAlign w:val="subscript"/>
        </w:rPr>
        <w:t>4</w:t>
      </w:r>
      <w:r w:rsidRPr="00DE1C06">
        <w:rPr>
          <w:kern w:val="28"/>
          <w:szCs w:val="24"/>
          <w:vertAlign w:val="superscript"/>
        </w:rPr>
        <w:t>2–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 xml:space="preserve">The left is deep purple, the right is deep green. When both are present, then light in the red end of the spectrum is absorbed by the green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, and at the same time, light at the blue end of the spectrum is absorbed by the violet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VII. This combination of absorptions make the solution almost appear black, hence the darkening at the start of the experiment. When almost all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VII is reduced to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>, then the liquid looks beautifully deep green.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 xml:space="preserve">When there is excess sugar, then the </w:t>
      </w:r>
      <w:proofErr w:type="spellStart"/>
      <w:r w:rsidRPr="00DE1C06">
        <w:rPr>
          <w:kern w:val="28"/>
          <w:szCs w:val="24"/>
        </w:rPr>
        <w:t>manganate</w:t>
      </w:r>
      <w:proofErr w:type="spellEnd"/>
      <w:r w:rsidRPr="00DE1C06">
        <w:rPr>
          <w:kern w:val="28"/>
          <w:szCs w:val="24"/>
        </w:rPr>
        <w:t xml:space="preserve"> in turn is reduced further as follows: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>    MnO</w:t>
      </w:r>
      <w:r w:rsidRPr="00DE1C06">
        <w:rPr>
          <w:kern w:val="28"/>
          <w:szCs w:val="24"/>
          <w:vertAlign w:val="subscript"/>
        </w:rPr>
        <w:t>4</w:t>
      </w:r>
      <w:r w:rsidRPr="00DE1C06">
        <w:rPr>
          <w:kern w:val="28"/>
          <w:szCs w:val="24"/>
          <w:vertAlign w:val="superscript"/>
        </w:rPr>
        <w:t>2–</w:t>
      </w:r>
      <w:r w:rsidRPr="00DE1C06">
        <w:rPr>
          <w:kern w:val="28"/>
          <w:szCs w:val="24"/>
        </w:rPr>
        <w:t> + 2H</w:t>
      </w:r>
      <w:r w:rsidRPr="00DE1C06">
        <w:rPr>
          <w:kern w:val="28"/>
          <w:szCs w:val="24"/>
          <w:vertAlign w:val="subscript"/>
        </w:rPr>
        <w:t>2</w:t>
      </w:r>
      <w:r w:rsidRPr="00DE1C06">
        <w:rPr>
          <w:kern w:val="28"/>
          <w:szCs w:val="24"/>
        </w:rPr>
        <w:t>O + 2e → MnO</w:t>
      </w:r>
      <w:r w:rsidRPr="00DE1C06">
        <w:rPr>
          <w:kern w:val="28"/>
          <w:szCs w:val="24"/>
          <w:vertAlign w:val="subscript"/>
        </w:rPr>
        <w:t>2</w:t>
      </w:r>
      <w:r w:rsidRPr="00DE1C06">
        <w:rPr>
          <w:kern w:val="28"/>
          <w:szCs w:val="24"/>
        </w:rPr>
        <w:t> + 4OH</w:t>
      </w:r>
      <w:r w:rsidRPr="00DE1C06">
        <w:rPr>
          <w:kern w:val="28"/>
          <w:szCs w:val="24"/>
          <w:vertAlign w:val="superscript"/>
        </w:rPr>
        <w:t>–</w:t>
      </w:r>
    </w:p>
    <w:p w:rsidR="00DE1C06" w:rsidRPr="00DE1C06" w:rsidRDefault="00DE1C06" w:rsidP="00DE1C06">
      <w:pPr>
        <w:rPr>
          <w:kern w:val="28"/>
          <w:szCs w:val="24"/>
        </w:rPr>
      </w:pPr>
      <w:r w:rsidRPr="00DE1C06">
        <w:rPr>
          <w:kern w:val="28"/>
          <w:szCs w:val="24"/>
        </w:rPr>
        <w:t>At the very low concentrations, used in this experiment, the MnO</w:t>
      </w:r>
      <w:r w:rsidRPr="00DE1C06">
        <w:rPr>
          <w:kern w:val="28"/>
          <w:szCs w:val="24"/>
          <w:vertAlign w:val="subscript"/>
        </w:rPr>
        <w:t>2</w:t>
      </w:r>
      <w:r w:rsidRPr="00DE1C06">
        <w:rPr>
          <w:kern w:val="28"/>
          <w:szCs w:val="24"/>
        </w:rPr>
        <w:t> does not precipitate, but a colloidal solution of hydrous MnO</w:t>
      </w:r>
      <w:r w:rsidRPr="00DE1C06">
        <w:rPr>
          <w:kern w:val="28"/>
          <w:szCs w:val="24"/>
          <w:vertAlign w:val="subscript"/>
        </w:rPr>
        <w:t>2</w:t>
      </w:r>
      <w:r w:rsidRPr="00DE1C06">
        <w:rPr>
          <w:kern w:val="28"/>
          <w:szCs w:val="24"/>
        </w:rPr>
        <w:t> is formed, which remains clear. Hydrous MnO</w:t>
      </w:r>
      <w:r w:rsidRPr="00DE1C06">
        <w:rPr>
          <w:kern w:val="28"/>
          <w:szCs w:val="24"/>
          <w:vertAlign w:val="subscript"/>
        </w:rPr>
        <w:t>2</w:t>
      </w:r>
      <w:r w:rsidRPr="00DE1C06">
        <w:rPr>
          <w:kern w:val="28"/>
          <w:szCs w:val="24"/>
        </w:rPr>
        <w:t> is brown, but at the low concentrations, used in this experiment, it is more yellow than brown.</w:t>
      </w:r>
    </w:p>
    <w:p w:rsidR="00282361" w:rsidRPr="00DE1C06" w:rsidRDefault="00DE1C06" w:rsidP="00DE1C06">
      <w:pPr>
        <w:rPr>
          <w:kern w:val="28"/>
        </w:rPr>
      </w:pPr>
      <w:r w:rsidRPr="00DE1C06">
        <w:rPr>
          <w:kern w:val="28"/>
        </w:rPr>
        <w:t xml:space="preserve"> </w:t>
      </w:r>
    </w:p>
    <w:sectPr w:rsidR="00282361" w:rsidRPr="00DE1C06" w:rsidSect="00AE785C">
      <w:pgSz w:w="11906" w:h="16838"/>
      <w:pgMar w:top="1135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0327CB"/>
    <w:rsid w:val="000238F3"/>
    <w:rsid w:val="000327CB"/>
    <w:rsid w:val="000B4C02"/>
    <w:rsid w:val="000F0B77"/>
    <w:rsid w:val="000F5382"/>
    <w:rsid w:val="00113B31"/>
    <w:rsid w:val="001677C8"/>
    <w:rsid w:val="001B50E1"/>
    <w:rsid w:val="001F5F7E"/>
    <w:rsid w:val="00271738"/>
    <w:rsid w:val="00282361"/>
    <w:rsid w:val="002C1E88"/>
    <w:rsid w:val="0031157A"/>
    <w:rsid w:val="00355073"/>
    <w:rsid w:val="003C22F8"/>
    <w:rsid w:val="003C4813"/>
    <w:rsid w:val="00407744"/>
    <w:rsid w:val="004465D3"/>
    <w:rsid w:val="00462F40"/>
    <w:rsid w:val="004735C9"/>
    <w:rsid w:val="004952AF"/>
    <w:rsid w:val="00541D2E"/>
    <w:rsid w:val="00542491"/>
    <w:rsid w:val="00570FC0"/>
    <w:rsid w:val="005839B8"/>
    <w:rsid w:val="005A7397"/>
    <w:rsid w:val="005C6845"/>
    <w:rsid w:val="00696C69"/>
    <w:rsid w:val="00730E32"/>
    <w:rsid w:val="00832E71"/>
    <w:rsid w:val="00962B08"/>
    <w:rsid w:val="00975050"/>
    <w:rsid w:val="009A5657"/>
    <w:rsid w:val="009E0084"/>
    <w:rsid w:val="009E7A07"/>
    <w:rsid w:val="00AD603C"/>
    <w:rsid w:val="00AE785C"/>
    <w:rsid w:val="00B02CFE"/>
    <w:rsid w:val="00C53271"/>
    <w:rsid w:val="00CD0732"/>
    <w:rsid w:val="00CD2146"/>
    <w:rsid w:val="00CD77D9"/>
    <w:rsid w:val="00D1237B"/>
    <w:rsid w:val="00DE1C06"/>
    <w:rsid w:val="00EC1356"/>
    <w:rsid w:val="00F10C3A"/>
    <w:rsid w:val="00F5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E785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80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12</cp:revision>
  <dcterms:created xsi:type="dcterms:W3CDTF">2013-04-29T14:19:00Z</dcterms:created>
  <dcterms:modified xsi:type="dcterms:W3CDTF">2015-04-08T08:12:00Z</dcterms:modified>
</cp:coreProperties>
</file>