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64" w:rsidRPr="00903CBB" w:rsidRDefault="00A26564" w:rsidP="00A26564"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-323850</wp:posOffset>
            </wp:positionV>
            <wp:extent cx="2276475" cy="333375"/>
            <wp:effectExtent l="19050" t="0" r="9525" b="0"/>
            <wp:wrapSquare wrapText="bothSides"/>
            <wp:docPr id="11" name="Picture 8" descr="r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s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-535305</wp:posOffset>
            </wp:positionV>
            <wp:extent cx="972820" cy="974725"/>
            <wp:effectExtent l="19050" t="0" r="0" b="0"/>
            <wp:wrapSquare wrapText="bothSides"/>
            <wp:docPr id="10" name="Picture 7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SERC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564" w:rsidRPr="00903CBB" w:rsidRDefault="00A26564" w:rsidP="00A26564">
      <w:pPr>
        <w:rPr>
          <w:sz w:val="44"/>
          <w:szCs w:val="44"/>
        </w:rPr>
      </w:pPr>
    </w:p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744"/>
      </w:tblGrid>
      <w:tr w:rsidR="00A26564" w:rsidRPr="00903CBB" w:rsidTr="00D37A63">
        <w:tc>
          <w:tcPr>
            <w:tcW w:w="0" w:type="auto"/>
          </w:tcPr>
          <w:p w:rsidR="00A26564" w:rsidRPr="00903CBB" w:rsidRDefault="00A26564" w:rsidP="00D37A63">
            <w:pPr>
              <w:pStyle w:val="NoSpacing"/>
              <w:rPr>
                <w:sz w:val="80"/>
                <w:szCs w:val="80"/>
              </w:rPr>
            </w:pPr>
            <w:r w:rsidRPr="009D57F2">
              <w:rPr>
                <w:sz w:val="80"/>
                <w:szCs w:val="80"/>
              </w:rPr>
              <w:t>Chemical Demonstrations</w:t>
            </w:r>
          </w:p>
        </w:tc>
      </w:tr>
      <w:tr w:rsidR="00A26564" w:rsidRPr="00903CBB" w:rsidTr="00D37A63">
        <w:trPr>
          <w:trHeight w:val="604"/>
        </w:trPr>
        <w:tc>
          <w:tcPr>
            <w:tcW w:w="0" w:type="auto"/>
          </w:tcPr>
          <w:p w:rsidR="00A26564" w:rsidRPr="00903CBB" w:rsidRDefault="00C114BA" w:rsidP="00D37A63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Aluminium iodine reaction</w:t>
            </w:r>
          </w:p>
        </w:tc>
      </w:tr>
    </w:tbl>
    <w:p w:rsidR="00A26564" w:rsidRDefault="008A3681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1442085</wp:posOffset>
            </wp:positionV>
            <wp:extent cx="2733675" cy="1819275"/>
            <wp:effectExtent l="19050" t="0" r="9525" b="0"/>
            <wp:wrapTight wrapText="bothSides">
              <wp:wrapPolygon edited="0">
                <wp:start x="-151" y="0"/>
                <wp:lineTo x="-151" y="21487"/>
                <wp:lineTo x="21675" y="21487"/>
                <wp:lineTo x="21675" y="0"/>
                <wp:lineTo x="-151" y="0"/>
              </wp:wrapPolygon>
            </wp:wrapTight>
            <wp:docPr id="1" name="Picture 1" descr="https://encrypted-tbn0.gstatic.com/images?q=tbn:ANd9GcTDmI6-sbe54hlBYj2oGdtTkSgYTRyfWUBO2f1-6Fyt0r-W-6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mI6-sbe54hlBYj2oGdtTkSgYTRyfWUBO2f1-6Fyt0r-W-6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09C">
        <w:rPr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.95pt;margin-top:508.1pt;width:352.2pt;height:273.1pt;z-index:-251656704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A26564" w:rsidRPr="00903CBB" w:rsidRDefault="00A26564" w:rsidP="00A26564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A26564" w:rsidRDefault="00A26564" w:rsidP="00A26564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FA301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:rsidR="00A26564" w:rsidRPr="00903CBB" w:rsidRDefault="00A26564" w:rsidP="00A26564">
                  <w:pPr>
                    <w:jc w:val="right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SCN 3-19a</w:t>
                  </w:r>
                </w:p>
                <w:p w:rsidR="00A26564" w:rsidRPr="00D75D33" w:rsidRDefault="00FC0502" w:rsidP="00A2656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CfE</w:t>
                  </w:r>
                  <w:proofErr w:type="spellEnd"/>
                  <w:r w:rsidR="00A26564" w:rsidRPr="00D75D33">
                    <w:rPr>
                      <w:sz w:val="28"/>
                      <w:szCs w:val="28"/>
                    </w:rPr>
                    <w:t xml:space="preserve"> Higher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A26564" w:rsidRPr="00D75D3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Chemistry in Society</w:t>
                  </w:r>
                  <w:r w:rsidR="00A26564" w:rsidRPr="00D75D33">
                    <w:rPr>
                      <w:sz w:val="28"/>
                      <w:szCs w:val="28"/>
                    </w:rPr>
                    <w:t xml:space="preserve">  </w:t>
                  </w:r>
                </w:p>
                <w:p w:rsidR="00A26564" w:rsidRPr="00FA3013" w:rsidRDefault="00FC0502" w:rsidP="00A26564">
                  <w:pPr>
                    <w:ind w:firstLine="72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Oxidising or reducing agents</w:t>
                  </w:r>
                </w:p>
                <w:p w:rsidR="00A26564" w:rsidRDefault="00A26564" w:rsidP="00A26564">
                  <w:pPr>
                    <w:ind w:left="1276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A26564">
        <w:rPr>
          <w:szCs w:val="24"/>
        </w:rPr>
        <w:br w:type="page"/>
      </w:r>
    </w:p>
    <w:p w:rsidR="008A0522" w:rsidRPr="00C114BA" w:rsidRDefault="00C114BA" w:rsidP="008A0522">
      <w:pPr>
        <w:rPr>
          <w:b/>
          <w:szCs w:val="24"/>
        </w:rPr>
      </w:pPr>
      <w:r w:rsidRPr="00C114BA">
        <w:rPr>
          <w:b/>
          <w:szCs w:val="24"/>
        </w:rPr>
        <w:lastRenderedPageBreak/>
        <w:t>Introduction</w:t>
      </w:r>
    </w:p>
    <w:p w:rsidR="00347A5C" w:rsidRDefault="00347A5C" w:rsidP="00347A5C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347A5C">
        <w:rPr>
          <w:rFonts w:cs="Times New Roman"/>
          <w:szCs w:val="24"/>
        </w:rPr>
        <w:t xml:space="preserve">The chemical properties of iodine are very similar to those of bromine and chlorine. </w:t>
      </w:r>
      <w:r>
        <w:rPr>
          <w:rFonts w:cs="Times New Roman"/>
          <w:szCs w:val="24"/>
        </w:rPr>
        <w:t>It is, however, much less reactive.</w:t>
      </w:r>
      <w:r w:rsidRPr="00347A5C">
        <w:rPr>
          <w:rFonts w:cs="Times New Roman"/>
          <w:szCs w:val="24"/>
        </w:rPr>
        <w:t xml:space="preserve"> It can also act as an </w:t>
      </w:r>
      <w:r>
        <w:rPr>
          <w:rFonts w:cs="Times New Roman"/>
          <w:szCs w:val="24"/>
        </w:rPr>
        <w:t>oxidising agent that can reduce a</w:t>
      </w:r>
      <w:r w:rsidRPr="00347A5C">
        <w:rPr>
          <w:rFonts w:cs="Times New Roman"/>
          <w:szCs w:val="24"/>
        </w:rPr>
        <w:t xml:space="preserve"> number of elements such as</w:t>
      </w:r>
      <w:r>
        <w:rPr>
          <w:rFonts w:cs="Times New Roman"/>
          <w:szCs w:val="24"/>
        </w:rPr>
        <w:t xml:space="preserve"> </w:t>
      </w:r>
      <w:r w:rsidRPr="00347A5C">
        <w:rPr>
          <w:rFonts w:cs="Times New Roman"/>
          <w:szCs w:val="24"/>
        </w:rPr>
        <w:t>phosphorus, aluminium, zinc</w:t>
      </w:r>
      <w:r>
        <w:rPr>
          <w:rFonts w:cs="Times New Roman"/>
          <w:szCs w:val="24"/>
        </w:rPr>
        <w:t xml:space="preserve"> and iron Usually, </w:t>
      </w:r>
      <w:r w:rsidRPr="00347A5C">
        <w:rPr>
          <w:rFonts w:cs="Times New Roman"/>
          <w:szCs w:val="24"/>
        </w:rPr>
        <w:t>though</w:t>
      </w:r>
      <w:r>
        <w:rPr>
          <w:rFonts w:cs="Times New Roman"/>
          <w:szCs w:val="24"/>
        </w:rPr>
        <w:t>,</w:t>
      </w:r>
      <w:r w:rsidRPr="00347A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high</w:t>
      </w:r>
      <w:r w:rsidRPr="00347A5C">
        <w:rPr>
          <w:rFonts w:cs="Times New Roman"/>
          <w:szCs w:val="24"/>
        </w:rPr>
        <w:t xml:space="preserve"> temperatures are required.</w:t>
      </w:r>
    </w:p>
    <w:p w:rsidR="00347A5C" w:rsidRPr="00347A5C" w:rsidRDefault="00347A5C" w:rsidP="00347A5C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Aluminium, despite its normal inert behaviour, is a very reactive metal. The inactivity that is normal is due to a generally impermeable layer of aluminium oxide on the surface.</w:t>
      </w:r>
    </w:p>
    <w:p w:rsidR="00C114BA" w:rsidRPr="00347A5C" w:rsidRDefault="00347A5C" w:rsidP="00347A5C">
      <w:pPr>
        <w:rPr>
          <w:rFonts w:cs="Times New Roman"/>
          <w:szCs w:val="24"/>
        </w:rPr>
      </w:pPr>
      <w:r>
        <w:rPr>
          <w:rFonts w:cs="Times New Roman"/>
          <w:szCs w:val="24"/>
        </w:rPr>
        <w:t>The o</w:t>
      </w:r>
      <w:r w:rsidRPr="00347A5C">
        <w:rPr>
          <w:rFonts w:cs="Times New Roman"/>
          <w:szCs w:val="24"/>
        </w:rPr>
        <w:t xml:space="preserve">xidation of finely </w:t>
      </w:r>
      <w:r>
        <w:rPr>
          <w:rFonts w:cs="Times New Roman"/>
          <w:szCs w:val="24"/>
        </w:rPr>
        <w:t>powdered</w:t>
      </w:r>
      <w:r w:rsidRPr="00347A5C">
        <w:rPr>
          <w:rFonts w:cs="Times New Roman"/>
          <w:szCs w:val="24"/>
        </w:rPr>
        <w:t xml:space="preserve"> aluminium </w:t>
      </w:r>
      <w:r>
        <w:rPr>
          <w:rFonts w:cs="Times New Roman"/>
          <w:szCs w:val="24"/>
        </w:rPr>
        <w:t>by</w:t>
      </w:r>
      <w:r w:rsidRPr="00347A5C">
        <w:rPr>
          <w:rFonts w:cs="Times New Roman"/>
          <w:szCs w:val="24"/>
        </w:rPr>
        <w:t xml:space="preserve"> iodine can be </w:t>
      </w:r>
      <w:r>
        <w:rPr>
          <w:rFonts w:cs="Times New Roman"/>
          <w:szCs w:val="24"/>
        </w:rPr>
        <w:t>started by simply</w:t>
      </w:r>
      <w:r w:rsidRPr="00347A5C">
        <w:rPr>
          <w:rFonts w:cs="Times New Roman"/>
          <w:szCs w:val="24"/>
        </w:rPr>
        <w:t xml:space="preserve"> using</w:t>
      </w:r>
      <w:r>
        <w:rPr>
          <w:rFonts w:cs="Times New Roman"/>
          <w:szCs w:val="24"/>
        </w:rPr>
        <w:t xml:space="preserve"> a few drops of water, which starts a spectacular reaction that produces clouds of purple smoke.</w:t>
      </w:r>
    </w:p>
    <w:p w:rsidR="008A0522" w:rsidRDefault="008A0522" w:rsidP="008A0522">
      <w:pPr>
        <w:rPr>
          <w:b/>
          <w:iCs/>
          <w:szCs w:val="24"/>
        </w:rPr>
      </w:pPr>
      <w:r w:rsidRPr="008A0522">
        <w:rPr>
          <w:b/>
          <w:iCs/>
          <w:szCs w:val="24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A0522" w:rsidRPr="00C114BA" w:rsidTr="008A0522">
        <w:tc>
          <w:tcPr>
            <w:tcW w:w="4621" w:type="dxa"/>
          </w:tcPr>
          <w:p w:rsidR="008A0522" w:rsidRPr="00C114BA" w:rsidRDefault="00C114BA" w:rsidP="008A0522">
            <w:pPr>
              <w:rPr>
                <w:b/>
                <w:sz w:val="24"/>
                <w:szCs w:val="24"/>
              </w:rPr>
            </w:pPr>
            <w:r w:rsidRPr="00C114BA">
              <w:rPr>
                <w:sz w:val="24"/>
                <w:szCs w:val="24"/>
              </w:rPr>
              <w:t>0.5g Aluminium powder (fine)</w:t>
            </w:r>
          </w:p>
        </w:tc>
        <w:tc>
          <w:tcPr>
            <w:tcW w:w="4621" w:type="dxa"/>
          </w:tcPr>
          <w:p w:rsidR="008A0522" w:rsidRPr="00C114BA" w:rsidRDefault="00C114BA" w:rsidP="008A0522">
            <w:pPr>
              <w:rPr>
                <w:sz w:val="24"/>
                <w:szCs w:val="24"/>
              </w:rPr>
            </w:pPr>
            <w:r w:rsidRPr="00C114BA">
              <w:rPr>
                <w:sz w:val="24"/>
                <w:szCs w:val="24"/>
              </w:rPr>
              <w:t>Iodine (solid) 2g</w:t>
            </w:r>
          </w:p>
        </w:tc>
      </w:tr>
      <w:tr w:rsidR="008A0522" w:rsidRPr="00C114BA" w:rsidTr="008A0522">
        <w:tc>
          <w:tcPr>
            <w:tcW w:w="4621" w:type="dxa"/>
          </w:tcPr>
          <w:p w:rsidR="008A0522" w:rsidRPr="00C114BA" w:rsidRDefault="00C114BA" w:rsidP="008A0522">
            <w:pPr>
              <w:rPr>
                <w:sz w:val="24"/>
                <w:szCs w:val="24"/>
              </w:rPr>
            </w:pPr>
            <w:r w:rsidRPr="00C114BA">
              <w:rPr>
                <w:sz w:val="24"/>
                <w:szCs w:val="24"/>
              </w:rPr>
              <w:t>Pipette with warm water</w:t>
            </w:r>
          </w:p>
        </w:tc>
        <w:tc>
          <w:tcPr>
            <w:tcW w:w="4621" w:type="dxa"/>
          </w:tcPr>
          <w:p w:rsidR="008A0522" w:rsidRPr="00C114BA" w:rsidRDefault="00C114BA" w:rsidP="008A0522">
            <w:pPr>
              <w:rPr>
                <w:sz w:val="24"/>
                <w:szCs w:val="24"/>
              </w:rPr>
            </w:pPr>
            <w:r w:rsidRPr="00C114BA">
              <w:rPr>
                <w:sz w:val="24"/>
                <w:szCs w:val="24"/>
              </w:rPr>
              <w:t>Metal tray or tin lid</w:t>
            </w:r>
          </w:p>
        </w:tc>
      </w:tr>
      <w:tr w:rsidR="00C114BA" w:rsidRPr="00C114BA" w:rsidTr="008A0522">
        <w:tc>
          <w:tcPr>
            <w:tcW w:w="4621" w:type="dxa"/>
          </w:tcPr>
          <w:p w:rsidR="00C114BA" w:rsidRPr="00C114BA" w:rsidRDefault="00C114BA" w:rsidP="008A0522">
            <w:pPr>
              <w:rPr>
                <w:sz w:val="24"/>
                <w:szCs w:val="24"/>
              </w:rPr>
            </w:pPr>
            <w:r w:rsidRPr="00C114BA">
              <w:rPr>
                <w:sz w:val="24"/>
                <w:szCs w:val="24"/>
              </w:rPr>
              <w:t>Access to a fume cupboard</w:t>
            </w:r>
          </w:p>
        </w:tc>
        <w:tc>
          <w:tcPr>
            <w:tcW w:w="4621" w:type="dxa"/>
          </w:tcPr>
          <w:p w:rsidR="00C114BA" w:rsidRPr="00C114BA" w:rsidRDefault="00C114BA" w:rsidP="008A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 proof mat</w:t>
            </w:r>
          </w:p>
        </w:tc>
      </w:tr>
    </w:tbl>
    <w:p w:rsidR="008A0522" w:rsidRPr="008A0522" w:rsidRDefault="008A0522" w:rsidP="008A0522">
      <w:pPr>
        <w:rPr>
          <w:b/>
          <w:szCs w:val="24"/>
        </w:rPr>
      </w:pPr>
    </w:p>
    <w:p w:rsidR="008A0522" w:rsidRPr="005F6F3B" w:rsidRDefault="005F6F3B" w:rsidP="008A0522">
      <w:pPr>
        <w:rPr>
          <w:b/>
          <w:szCs w:val="24"/>
        </w:rPr>
      </w:pPr>
      <w:r w:rsidRPr="005F6F3B">
        <w:rPr>
          <w:b/>
          <w:szCs w:val="24"/>
        </w:rPr>
        <w:t>To do</w:t>
      </w:r>
    </w:p>
    <w:p w:rsidR="00C114BA" w:rsidRDefault="00C114BA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 w:rsidRPr="00C114BA">
        <w:rPr>
          <w:szCs w:val="24"/>
        </w:rPr>
        <w:t>Grind up the iodine with a pestle and mortar.</w:t>
      </w:r>
    </w:p>
    <w:p w:rsidR="008A0522" w:rsidRDefault="00C114BA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>
        <w:rPr>
          <w:szCs w:val="24"/>
        </w:rPr>
        <w:t>Carefully mix the iodine with the aluminium powder.</w:t>
      </w:r>
    </w:p>
    <w:p w:rsidR="00C114BA" w:rsidRDefault="00C114BA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>
        <w:rPr>
          <w:szCs w:val="24"/>
        </w:rPr>
        <w:t>Place the mixture in a pile in the tin lid and make a small dent in the top of the pile.</w:t>
      </w:r>
    </w:p>
    <w:p w:rsidR="00347A5C" w:rsidRDefault="00347A5C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>
        <w:rPr>
          <w:szCs w:val="24"/>
        </w:rPr>
        <w:t>Place the lid with the mixture on it in on a heat proof mat in a fume cupboard.</w:t>
      </w:r>
    </w:p>
    <w:p w:rsidR="00C114BA" w:rsidRDefault="00C114BA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>
        <w:rPr>
          <w:szCs w:val="24"/>
        </w:rPr>
        <w:t>Use a pipette to add two or three drops of water to the top of t</w:t>
      </w:r>
      <w:r w:rsidR="00347A5C">
        <w:rPr>
          <w:szCs w:val="24"/>
        </w:rPr>
        <w:t>h</w:t>
      </w:r>
      <w:r>
        <w:rPr>
          <w:szCs w:val="24"/>
        </w:rPr>
        <w:t>e pile.</w:t>
      </w:r>
    </w:p>
    <w:p w:rsidR="00C114BA" w:rsidRDefault="00C114BA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>
        <w:rPr>
          <w:szCs w:val="24"/>
        </w:rPr>
        <w:t>There will be a delay, usually of around 15 – 30s and then clouds of purple iodine vapour will start to appear.</w:t>
      </w:r>
    </w:p>
    <w:p w:rsidR="00C114BA" w:rsidRDefault="00C114BA" w:rsidP="00C114BA">
      <w:pPr>
        <w:pStyle w:val="ListParagraph"/>
        <w:numPr>
          <w:ilvl w:val="0"/>
          <w:numId w:val="3"/>
        </w:numPr>
        <w:ind w:left="425" w:hanging="357"/>
        <w:contextualSpacing w:val="0"/>
        <w:rPr>
          <w:szCs w:val="24"/>
        </w:rPr>
      </w:pPr>
      <w:r>
        <w:rPr>
          <w:szCs w:val="24"/>
        </w:rPr>
        <w:t xml:space="preserve">The mixture then bursts into flame </w:t>
      </w:r>
      <w:r w:rsidR="00347A5C">
        <w:rPr>
          <w:szCs w:val="24"/>
        </w:rPr>
        <w:t>producing white smoke along with the purple iodine vapour. It soon goes out to leave a glowing white residue of aluminium iodide.</w:t>
      </w:r>
    </w:p>
    <w:p w:rsidR="00347A5C" w:rsidRPr="00C114BA" w:rsidRDefault="00347A5C" w:rsidP="00347A5C">
      <w:pPr>
        <w:pStyle w:val="ListParagraph"/>
        <w:ind w:left="425"/>
        <w:contextualSpacing w:val="0"/>
        <w:rPr>
          <w:szCs w:val="24"/>
        </w:rPr>
      </w:pPr>
    </w:p>
    <w:p w:rsidR="008A0522" w:rsidRPr="005F6F3B" w:rsidRDefault="008A0522" w:rsidP="008A0522">
      <w:pPr>
        <w:rPr>
          <w:b/>
          <w:szCs w:val="24"/>
        </w:rPr>
      </w:pPr>
      <w:r w:rsidRPr="005F6F3B">
        <w:rPr>
          <w:b/>
          <w:szCs w:val="24"/>
        </w:rPr>
        <w:t> </w:t>
      </w:r>
      <w:r w:rsidR="005F6F3B" w:rsidRPr="005F6F3B">
        <w:rPr>
          <w:b/>
          <w:szCs w:val="24"/>
        </w:rPr>
        <w:t>Health and Safety</w:t>
      </w:r>
    </w:p>
    <w:p w:rsidR="00130221" w:rsidRDefault="00347A5C" w:rsidP="005F6F3B">
      <w:pPr>
        <w:rPr>
          <w:szCs w:val="24"/>
        </w:rPr>
      </w:pPr>
      <w:r>
        <w:rPr>
          <w:szCs w:val="24"/>
        </w:rPr>
        <w:t>Iodine vapour is harmful (Cat 4) by inhalation and by skin contact.</w:t>
      </w:r>
    </w:p>
    <w:p w:rsidR="005F6F3B" w:rsidRPr="008A0522" w:rsidRDefault="00347A5C" w:rsidP="005F6F3B">
      <w:pPr>
        <w:rPr>
          <w:szCs w:val="24"/>
        </w:rPr>
      </w:pPr>
      <w:r>
        <w:rPr>
          <w:szCs w:val="24"/>
        </w:rPr>
        <w:t>Wear gloves and eye protection. Carry out the experiment in a fume cupboard.</w:t>
      </w:r>
    </w:p>
    <w:p w:rsidR="00071BF0" w:rsidRDefault="00071BF0" w:rsidP="005F6F3B">
      <w:pPr>
        <w:rPr>
          <w:b/>
          <w:bCs/>
          <w:szCs w:val="24"/>
        </w:rPr>
      </w:pPr>
    </w:p>
    <w:p w:rsidR="005F0364" w:rsidRDefault="005F6F3B" w:rsidP="005F6F3B">
      <w:pPr>
        <w:rPr>
          <w:szCs w:val="24"/>
        </w:rPr>
      </w:pPr>
      <w:r w:rsidRPr="008A0522">
        <w:rPr>
          <w:b/>
          <w:bCs/>
          <w:szCs w:val="24"/>
        </w:rPr>
        <w:t>Disposal</w:t>
      </w:r>
      <w:r w:rsidRPr="008A0522">
        <w:rPr>
          <w:szCs w:val="24"/>
        </w:rPr>
        <w:t xml:space="preserve"> </w:t>
      </w:r>
    </w:p>
    <w:p w:rsidR="007723DC" w:rsidRDefault="007723DC" w:rsidP="008A0522">
      <w:pPr>
        <w:rPr>
          <w:szCs w:val="24"/>
        </w:rPr>
      </w:pPr>
      <w:r w:rsidRPr="007723DC">
        <w:rPr>
          <w:szCs w:val="24"/>
        </w:rPr>
        <w:t>Allow the residue</w:t>
      </w:r>
      <w:r>
        <w:rPr>
          <w:szCs w:val="24"/>
        </w:rPr>
        <w:t xml:space="preserve"> to cool. Then add it to 1 M sodium carbonate solution. Add it a bit at a time and allow the frothing to go down before the next addition. Once it is all finished, the mixture can be washed to waste with large quantities of cold water.</w:t>
      </w:r>
    </w:p>
    <w:p w:rsidR="00F5427E" w:rsidRPr="00F5427E" w:rsidRDefault="00F5427E" w:rsidP="008A0522">
      <w:pPr>
        <w:rPr>
          <w:b/>
          <w:szCs w:val="24"/>
        </w:rPr>
      </w:pPr>
      <w:r w:rsidRPr="00F5427E">
        <w:rPr>
          <w:b/>
          <w:szCs w:val="24"/>
        </w:rPr>
        <w:lastRenderedPageBreak/>
        <w:t>Notes</w:t>
      </w:r>
    </w:p>
    <w:p w:rsidR="00F5427E" w:rsidRDefault="00F5427E" w:rsidP="00F5427E">
      <w:pPr>
        <w:rPr>
          <w:szCs w:val="24"/>
        </w:rPr>
      </w:pPr>
      <w:r w:rsidRPr="00F5427E">
        <w:rPr>
          <w:szCs w:val="24"/>
        </w:rPr>
        <w:t>It is important to try this experiment</w:t>
      </w:r>
      <w:r>
        <w:rPr>
          <w:szCs w:val="24"/>
        </w:rPr>
        <w:t xml:space="preserve"> with the bottle of aluminium powder that you will be using</w:t>
      </w:r>
      <w:r w:rsidRPr="00F5427E">
        <w:rPr>
          <w:szCs w:val="24"/>
        </w:rPr>
        <w:t xml:space="preserve"> befo</w:t>
      </w:r>
      <w:r>
        <w:rPr>
          <w:szCs w:val="24"/>
        </w:rPr>
        <w:t>re doing it as a demonstration. D</w:t>
      </w:r>
      <w:r w:rsidRPr="00F5427E">
        <w:rPr>
          <w:szCs w:val="24"/>
        </w:rPr>
        <w:t>ifferent samples of</w:t>
      </w:r>
      <w:r>
        <w:rPr>
          <w:szCs w:val="24"/>
        </w:rPr>
        <w:t xml:space="preserve"> </w:t>
      </w:r>
      <w:r w:rsidRPr="00F5427E">
        <w:rPr>
          <w:szCs w:val="24"/>
        </w:rPr>
        <w:t>aluminium powder can react differently.</w:t>
      </w:r>
      <w:r w:rsidR="00202EE4">
        <w:rPr>
          <w:szCs w:val="24"/>
        </w:rPr>
        <w:t xml:space="preserve"> If the powder is too </w:t>
      </w:r>
      <w:proofErr w:type="spellStart"/>
      <w:r w:rsidR="00202EE4">
        <w:rPr>
          <w:szCs w:val="24"/>
        </w:rPr>
        <w:t>coarse</w:t>
      </w:r>
      <w:proofErr w:type="spellEnd"/>
      <w:r w:rsidR="00202EE4">
        <w:rPr>
          <w:szCs w:val="24"/>
        </w:rPr>
        <w:t>, it may not work at all.</w:t>
      </w:r>
    </w:p>
    <w:p w:rsidR="00F5427E" w:rsidRDefault="00F5427E" w:rsidP="00F5427E">
      <w:pPr>
        <w:rPr>
          <w:szCs w:val="24"/>
        </w:rPr>
      </w:pPr>
      <w:r>
        <w:rPr>
          <w:szCs w:val="24"/>
        </w:rPr>
        <w:t>The induction period for the reaction can be quite long. If it does not work, add another couple of drops of water.</w:t>
      </w:r>
    </w:p>
    <w:p w:rsidR="00202EE4" w:rsidRDefault="00202EE4" w:rsidP="00F5427E">
      <w:pPr>
        <w:rPr>
          <w:szCs w:val="24"/>
        </w:rPr>
      </w:pPr>
      <w:r>
        <w:rPr>
          <w:szCs w:val="24"/>
        </w:rPr>
        <w:t>Adding a drop or two of detergent to the water will help with the wetting and speed up the incubation period of the reaction.</w:t>
      </w:r>
    </w:p>
    <w:p w:rsidR="00202EE4" w:rsidRPr="00F5427E" w:rsidRDefault="00202EE4" w:rsidP="00F5427E">
      <w:pPr>
        <w:rPr>
          <w:szCs w:val="24"/>
        </w:rPr>
      </w:pPr>
      <w:r>
        <w:rPr>
          <w:szCs w:val="24"/>
        </w:rPr>
        <w:t xml:space="preserve">If the reaction is not initiating, leave it in the fume cupboard, which should be switched on, until you have time to clear it up. </w:t>
      </w:r>
      <w:r w:rsidRPr="00202EE4">
        <w:rPr>
          <w:b/>
          <w:szCs w:val="24"/>
        </w:rPr>
        <w:t>DO NOT</w:t>
      </w:r>
      <w:r>
        <w:rPr>
          <w:szCs w:val="24"/>
        </w:rPr>
        <w:t xml:space="preserve"> leave it in the open lab. It has been known for these mixtures to suddenly react after a very long delay. If this happens in an open lab, the entire room could be coated with iodine and become unusable.</w:t>
      </w:r>
    </w:p>
    <w:p w:rsidR="005F6F3B" w:rsidRPr="00A26564" w:rsidRDefault="00A26564" w:rsidP="008A0522">
      <w:pPr>
        <w:rPr>
          <w:b/>
          <w:szCs w:val="24"/>
        </w:rPr>
      </w:pPr>
      <w:r w:rsidRPr="00A26564">
        <w:rPr>
          <w:b/>
          <w:szCs w:val="24"/>
        </w:rPr>
        <w:t>The Chemistry</w:t>
      </w:r>
    </w:p>
    <w:p w:rsidR="007723DC" w:rsidRPr="007723DC" w:rsidRDefault="007723DC" w:rsidP="007723DC">
      <w:pPr>
        <w:rPr>
          <w:szCs w:val="24"/>
        </w:rPr>
      </w:pPr>
      <w:r w:rsidRPr="007723DC">
        <w:rPr>
          <w:szCs w:val="24"/>
        </w:rPr>
        <w:t>The reaction is:</w:t>
      </w:r>
    </w:p>
    <w:p w:rsidR="007723DC" w:rsidRPr="007723DC" w:rsidRDefault="007723DC" w:rsidP="007723DC">
      <w:pPr>
        <w:rPr>
          <w:b/>
          <w:szCs w:val="24"/>
        </w:rPr>
      </w:pPr>
      <w:r w:rsidRPr="007723DC">
        <w:rPr>
          <w:b/>
          <w:szCs w:val="24"/>
        </w:rPr>
        <w:t>2Al(s) + 3I</w:t>
      </w:r>
      <w:r w:rsidRPr="007723DC">
        <w:rPr>
          <w:b/>
          <w:szCs w:val="24"/>
          <w:vertAlign w:val="subscript"/>
        </w:rPr>
        <w:t>2</w:t>
      </w:r>
      <w:r w:rsidRPr="007723DC">
        <w:rPr>
          <w:b/>
          <w:szCs w:val="24"/>
        </w:rPr>
        <w:t>(s) → Al</w:t>
      </w:r>
      <w:r w:rsidRPr="007723DC">
        <w:rPr>
          <w:b/>
          <w:szCs w:val="24"/>
          <w:vertAlign w:val="subscript"/>
        </w:rPr>
        <w:t>2</w:t>
      </w:r>
      <w:r w:rsidRPr="007723DC">
        <w:rPr>
          <w:b/>
          <w:szCs w:val="24"/>
        </w:rPr>
        <w:t>I</w:t>
      </w:r>
      <w:r w:rsidRPr="007723DC">
        <w:rPr>
          <w:b/>
          <w:szCs w:val="24"/>
          <w:vertAlign w:val="subscript"/>
        </w:rPr>
        <w:t>6</w:t>
      </w:r>
      <w:r w:rsidRPr="007723DC">
        <w:rPr>
          <w:b/>
          <w:szCs w:val="24"/>
        </w:rPr>
        <w:t>(s)</w:t>
      </w:r>
    </w:p>
    <w:p w:rsidR="00F5427E" w:rsidRDefault="00F5427E" w:rsidP="00F5427E">
      <w:pPr>
        <w:rPr>
          <w:szCs w:val="24"/>
        </w:rPr>
      </w:pPr>
      <w:r>
        <w:rPr>
          <w:szCs w:val="24"/>
        </w:rPr>
        <w:t>It is catalysed by water.</w:t>
      </w:r>
    </w:p>
    <w:p w:rsidR="00F5427E" w:rsidRDefault="007723DC" w:rsidP="00F5427E">
      <w:pPr>
        <w:rPr>
          <w:szCs w:val="24"/>
        </w:rPr>
      </w:pPr>
      <w:r>
        <w:rPr>
          <w:szCs w:val="24"/>
        </w:rPr>
        <w:t xml:space="preserve">The </w:t>
      </w:r>
      <w:r w:rsidR="00F5427E">
        <w:rPr>
          <w:szCs w:val="24"/>
        </w:rPr>
        <w:t>a</w:t>
      </w:r>
      <w:r w:rsidRPr="007723DC">
        <w:rPr>
          <w:szCs w:val="24"/>
        </w:rPr>
        <w:t>nhydrous iodide produced here, react</w:t>
      </w:r>
      <w:r>
        <w:rPr>
          <w:szCs w:val="24"/>
        </w:rPr>
        <w:t>s</w:t>
      </w:r>
      <w:r w:rsidRPr="007723DC">
        <w:rPr>
          <w:szCs w:val="24"/>
        </w:rPr>
        <w:t xml:space="preserve"> vigorously with</w:t>
      </w:r>
      <w:r>
        <w:rPr>
          <w:szCs w:val="24"/>
        </w:rPr>
        <w:t xml:space="preserve"> </w:t>
      </w:r>
      <w:r w:rsidRPr="007723DC">
        <w:rPr>
          <w:szCs w:val="24"/>
        </w:rPr>
        <w:t xml:space="preserve">water, sometimes violently if freshly prepared and still hot, releasing fumes of </w:t>
      </w:r>
      <w:r>
        <w:rPr>
          <w:szCs w:val="24"/>
        </w:rPr>
        <w:t>hydrogen iodide.</w:t>
      </w:r>
    </w:p>
    <w:p w:rsidR="0031157A" w:rsidRPr="00570FC0" w:rsidRDefault="00F5427E" w:rsidP="00F5427E">
      <w:pPr>
        <w:rPr>
          <w:szCs w:val="24"/>
        </w:rPr>
      </w:pPr>
      <w:r>
        <w:rPr>
          <w:szCs w:val="24"/>
        </w:rPr>
        <w:t>The heat produced by this exothermic reaction causes some of the solid iodine to sublime into purple vapour.</w:t>
      </w:r>
    </w:p>
    <w:sectPr w:rsidR="0031157A" w:rsidRPr="00570FC0" w:rsidSect="00071BF0">
      <w:pgSz w:w="11906" w:h="16838"/>
      <w:pgMar w:top="1440" w:right="1440" w:bottom="1135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4D21"/>
    <w:multiLevelType w:val="hybridMultilevel"/>
    <w:tmpl w:val="6220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8A0522"/>
    <w:rsid w:val="00071BF0"/>
    <w:rsid w:val="000F0B77"/>
    <w:rsid w:val="00102E3E"/>
    <w:rsid w:val="00130221"/>
    <w:rsid w:val="001677C8"/>
    <w:rsid w:val="00202EE4"/>
    <w:rsid w:val="00271738"/>
    <w:rsid w:val="002E2C3B"/>
    <w:rsid w:val="0031157A"/>
    <w:rsid w:val="00347A5C"/>
    <w:rsid w:val="003C22F8"/>
    <w:rsid w:val="00407744"/>
    <w:rsid w:val="00462F40"/>
    <w:rsid w:val="004952AF"/>
    <w:rsid w:val="004E01AD"/>
    <w:rsid w:val="00570FC0"/>
    <w:rsid w:val="005839B8"/>
    <w:rsid w:val="005F0364"/>
    <w:rsid w:val="005F6F3B"/>
    <w:rsid w:val="006A709C"/>
    <w:rsid w:val="007723DC"/>
    <w:rsid w:val="007C7AF2"/>
    <w:rsid w:val="00832E71"/>
    <w:rsid w:val="008A0522"/>
    <w:rsid w:val="008A3681"/>
    <w:rsid w:val="009E7A07"/>
    <w:rsid w:val="00A26564"/>
    <w:rsid w:val="00A672E1"/>
    <w:rsid w:val="00C114BA"/>
    <w:rsid w:val="00C50188"/>
    <w:rsid w:val="00D1237B"/>
    <w:rsid w:val="00EC1356"/>
    <w:rsid w:val="00F5427E"/>
    <w:rsid w:val="00FC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2656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41">
          <w:marLeft w:val="0"/>
          <w:marRight w:val="0"/>
          <w:marTop w:val="34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874">
              <w:marLeft w:val="0"/>
              <w:marRight w:val="0"/>
              <w:marTop w:val="25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45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36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18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660">
              <w:marLeft w:val="0"/>
              <w:marRight w:val="0"/>
              <w:marTop w:val="28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98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5</cp:revision>
  <dcterms:created xsi:type="dcterms:W3CDTF">2014-03-18T11:43:00Z</dcterms:created>
  <dcterms:modified xsi:type="dcterms:W3CDTF">2015-04-07T15:37:00Z</dcterms:modified>
</cp:coreProperties>
</file>