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B7" w:rsidRDefault="004070B7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Eutrophication</w:t>
      </w:r>
      <w:proofErr w:type="spellEnd"/>
      <w:r>
        <w:rPr>
          <w:b/>
          <w:sz w:val="24"/>
          <w:szCs w:val="24"/>
        </w:rPr>
        <w:t xml:space="preserve"> –</w:t>
      </w:r>
    </w:p>
    <w:p w:rsidR="0078763D" w:rsidRDefault="004070B7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Investigating the effect of fertilisers on the growth of an algal population.</w:t>
      </w:r>
      <w:proofErr w:type="gramEnd"/>
    </w:p>
    <w:p w:rsidR="004070B7" w:rsidRDefault="004070B7">
      <w:pPr>
        <w:rPr>
          <w:b/>
          <w:sz w:val="24"/>
          <w:szCs w:val="24"/>
        </w:rPr>
      </w:pPr>
      <w:r>
        <w:rPr>
          <w:b/>
          <w:sz w:val="24"/>
          <w:szCs w:val="24"/>
        </w:rPr>
        <w:t>Teacher / Technical Guide</w:t>
      </w:r>
    </w:p>
    <w:p w:rsidR="00235AA0" w:rsidRDefault="00235AA0">
      <w:pPr>
        <w:rPr>
          <w:b/>
          <w:sz w:val="24"/>
          <w:szCs w:val="24"/>
        </w:rPr>
      </w:pPr>
      <w:r>
        <w:rPr>
          <w:b/>
          <w:sz w:val="24"/>
          <w:szCs w:val="24"/>
        </w:rPr>
        <w:t>Curriculum links</w:t>
      </w:r>
    </w:p>
    <w:p w:rsidR="00235AA0" w:rsidRDefault="00235AA0">
      <w:pPr>
        <w:rPr>
          <w:b/>
          <w:sz w:val="24"/>
          <w:szCs w:val="24"/>
        </w:rPr>
      </w:pPr>
      <w:r>
        <w:rPr>
          <w:b/>
          <w:sz w:val="24"/>
          <w:szCs w:val="24"/>
        </w:rPr>
        <w:t>National 4</w:t>
      </w:r>
      <w:r w:rsidR="00E71A2F">
        <w:rPr>
          <w:b/>
          <w:sz w:val="24"/>
          <w:szCs w:val="24"/>
        </w:rPr>
        <w:t>, U</w:t>
      </w:r>
      <w:r w:rsidR="004D2A40">
        <w:rPr>
          <w:b/>
          <w:sz w:val="24"/>
          <w:szCs w:val="24"/>
        </w:rPr>
        <w:t>nit 3 Life on Earth</w:t>
      </w:r>
    </w:p>
    <w:tbl>
      <w:tblPr>
        <w:tblStyle w:val="TableGrid"/>
        <w:tblW w:w="0" w:type="auto"/>
        <w:tblLook w:val="04A0"/>
      </w:tblPr>
      <w:tblGrid>
        <w:gridCol w:w="2376"/>
        <w:gridCol w:w="2835"/>
        <w:gridCol w:w="4031"/>
      </w:tblGrid>
      <w:tr w:rsidR="00235AA0" w:rsidTr="00235AA0">
        <w:tc>
          <w:tcPr>
            <w:tcW w:w="2376" w:type="dxa"/>
          </w:tcPr>
          <w:p w:rsidR="00235AA0" w:rsidRPr="00235AA0" w:rsidRDefault="00235AA0" w:rsidP="00235AA0">
            <w:pPr>
              <w:pStyle w:val="Default"/>
              <w:rPr>
                <w:rFonts w:asciiTheme="minorHAnsi" w:hAnsiTheme="minorHAnsi" w:cstheme="minorHAnsi"/>
              </w:rPr>
            </w:pPr>
            <w:r w:rsidRPr="00235A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Key areas </w:t>
            </w:r>
          </w:p>
          <w:p w:rsidR="00235AA0" w:rsidRPr="00235AA0" w:rsidRDefault="00235A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235AA0" w:rsidRPr="00235AA0" w:rsidRDefault="00235AA0" w:rsidP="00235AA0">
            <w:pPr>
              <w:pStyle w:val="Default"/>
              <w:rPr>
                <w:rFonts w:asciiTheme="minorHAnsi" w:hAnsiTheme="minorHAnsi" w:cstheme="minorHAnsi"/>
              </w:rPr>
            </w:pPr>
            <w:r w:rsidRPr="00235A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Suggested learning activities </w:t>
            </w:r>
          </w:p>
          <w:p w:rsidR="00235AA0" w:rsidRPr="00235AA0" w:rsidRDefault="00235A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31" w:type="dxa"/>
          </w:tcPr>
          <w:p w:rsidR="00235AA0" w:rsidRPr="00235AA0" w:rsidRDefault="00235AA0" w:rsidP="00235AA0">
            <w:pPr>
              <w:pStyle w:val="Default"/>
              <w:rPr>
                <w:rFonts w:asciiTheme="minorHAnsi" w:hAnsiTheme="minorHAnsi" w:cstheme="minorHAnsi"/>
              </w:rPr>
            </w:pPr>
            <w:r w:rsidRPr="00235A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Exemplification of key areas </w:t>
            </w:r>
          </w:p>
          <w:p w:rsidR="00235AA0" w:rsidRPr="00235AA0" w:rsidRDefault="00235A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5AA0" w:rsidTr="00235AA0">
        <w:tc>
          <w:tcPr>
            <w:tcW w:w="2376" w:type="dxa"/>
          </w:tcPr>
          <w:p w:rsidR="00235AA0" w:rsidRPr="00235AA0" w:rsidRDefault="00235AA0" w:rsidP="00235AA0">
            <w:pPr>
              <w:pStyle w:val="Default"/>
              <w:rPr>
                <w:rFonts w:asciiTheme="minorHAnsi" w:hAnsiTheme="minorHAnsi" w:cstheme="minorHAnsi"/>
              </w:rPr>
            </w:pPr>
            <w:r w:rsidRPr="00235AA0">
              <w:rPr>
                <w:rFonts w:asciiTheme="minorHAnsi" w:hAnsiTheme="minorHAnsi" w:cstheme="minorHAnsi"/>
                <w:sz w:val="22"/>
                <w:szCs w:val="22"/>
              </w:rPr>
              <w:t xml:space="preserve">4 Fertiliser design and environmental impact of fertilisers. </w:t>
            </w:r>
          </w:p>
          <w:p w:rsidR="00235AA0" w:rsidRPr="00235AA0" w:rsidRDefault="00235A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235AA0" w:rsidRPr="00235AA0" w:rsidRDefault="00235AA0" w:rsidP="00235AA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5AA0">
              <w:rPr>
                <w:rFonts w:asciiTheme="minorHAnsi" w:hAnsiTheme="minorHAnsi" w:cstheme="minorHAnsi"/>
                <w:sz w:val="22"/>
                <w:szCs w:val="22"/>
              </w:rPr>
              <w:t xml:space="preserve">Investigate the effects of </w:t>
            </w:r>
            <w:proofErr w:type="gramStart"/>
            <w:r w:rsidRPr="00235AA0">
              <w:rPr>
                <w:rFonts w:asciiTheme="minorHAnsi" w:hAnsiTheme="minorHAnsi" w:cstheme="minorHAnsi"/>
                <w:sz w:val="22"/>
                <w:szCs w:val="22"/>
              </w:rPr>
              <w:t>fertilisers</w:t>
            </w:r>
            <w:proofErr w:type="gramEnd"/>
            <w:r w:rsidRPr="00235A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5AA0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235AA0">
              <w:rPr>
                <w:rFonts w:asciiTheme="minorHAnsi" w:hAnsiTheme="minorHAnsi" w:cstheme="minorHAnsi"/>
                <w:sz w:val="22"/>
                <w:szCs w:val="22"/>
              </w:rPr>
              <w:t xml:space="preserve"> algal blooms. </w:t>
            </w:r>
          </w:p>
          <w:p w:rsidR="00235AA0" w:rsidRPr="00235AA0" w:rsidRDefault="00235A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31" w:type="dxa"/>
          </w:tcPr>
          <w:p w:rsidR="00235AA0" w:rsidRPr="00235AA0" w:rsidRDefault="00235AA0" w:rsidP="00235AA0">
            <w:pPr>
              <w:pStyle w:val="Default"/>
              <w:rPr>
                <w:rFonts w:asciiTheme="minorHAnsi" w:hAnsiTheme="minorHAnsi" w:cstheme="minorHAnsi"/>
              </w:rPr>
            </w:pPr>
            <w:r w:rsidRPr="00235AA0">
              <w:rPr>
                <w:rFonts w:asciiTheme="minorHAnsi" w:hAnsiTheme="minorHAnsi" w:cstheme="minorHAnsi"/>
                <w:sz w:val="22"/>
                <w:szCs w:val="22"/>
              </w:rPr>
              <w:t xml:space="preserve">Nitrogen in fresh water increases algal growth, blocking out the light. This causes death of organisms, decrease of oxygen and means less life can be supported. </w:t>
            </w:r>
          </w:p>
        </w:tc>
      </w:tr>
    </w:tbl>
    <w:p w:rsidR="00235AA0" w:rsidRDefault="00235AA0">
      <w:pPr>
        <w:rPr>
          <w:sz w:val="24"/>
          <w:szCs w:val="24"/>
        </w:rPr>
      </w:pPr>
    </w:p>
    <w:p w:rsidR="004D2A40" w:rsidRDefault="004D2A40">
      <w:pPr>
        <w:rPr>
          <w:b/>
          <w:sz w:val="24"/>
          <w:szCs w:val="24"/>
        </w:rPr>
      </w:pPr>
      <w:r>
        <w:rPr>
          <w:b/>
          <w:sz w:val="24"/>
          <w:szCs w:val="24"/>
        </w:rPr>
        <w:t>National 5, Unit 3 Life on Earth</w:t>
      </w:r>
    </w:p>
    <w:tbl>
      <w:tblPr>
        <w:tblStyle w:val="TableGrid"/>
        <w:tblW w:w="0" w:type="auto"/>
        <w:tblLook w:val="04A0"/>
      </w:tblPr>
      <w:tblGrid>
        <w:gridCol w:w="3369"/>
        <w:gridCol w:w="2976"/>
        <w:gridCol w:w="2897"/>
      </w:tblGrid>
      <w:tr w:rsidR="004D2A40" w:rsidTr="004D2A40">
        <w:tc>
          <w:tcPr>
            <w:tcW w:w="3369" w:type="dxa"/>
          </w:tcPr>
          <w:p w:rsidR="004D2A40" w:rsidRPr="004D2A40" w:rsidRDefault="004D2A40" w:rsidP="004D2A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D2A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Mandatory Course key areas </w:t>
            </w:r>
          </w:p>
          <w:p w:rsidR="004D2A40" w:rsidRPr="004D2A40" w:rsidRDefault="004D2A40">
            <w:pPr>
              <w:rPr>
                <w:rFonts w:cstheme="minorHAnsi"/>
                <w:b/>
              </w:rPr>
            </w:pPr>
          </w:p>
        </w:tc>
        <w:tc>
          <w:tcPr>
            <w:tcW w:w="2976" w:type="dxa"/>
          </w:tcPr>
          <w:p w:rsidR="004D2A40" w:rsidRPr="004D2A40" w:rsidRDefault="004D2A40" w:rsidP="004D2A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D2A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Suggested learning activities </w:t>
            </w:r>
          </w:p>
          <w:p w:rsidR="004D2A40" w:rsidRPr="004D2A40" w:rsidRDefault="004D2A40">
            <w:pPr>
              <w:rPr>
                <w:rFonts w:cstheme="minorHAnsi"/>
                <w:b/>
              </w:rPr>
            </w:pPr>
          </w:p>
        </w:tc>
        <w:tc>
          <w:tcPr>
            <w:tcW w:w="2897" w:type="dxa"/>
          </w:tcPr>
          <w:p w:rsidR="004D2A40" w:rsidRPr="004D2A40" w:rsidRDefault="004D2A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D2A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Exemplification of key areas </w:t>
            </w:r>
          </w:p>
        </w:tc>
      </w:tr>
      <w:tr w:rsidR="004D2A40" w:rsidTr="004D2A40">
        <w:tc>
          <w:tcPr>
            <w:tcW w:w="3369" w:type="dxa"/>
          </w:tcPr>
          <w:p w:rsidR="004D2A40" w:rsidRPr="004D2A40" w:rsidRDefault="004D2A40" w:rsidP="004D2A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D2A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5 Human impact on the environment </w:t>
            </w:r>
          </w:p>
          <w:p w:rsidR="004D2A40" w:rsidRPr="004D2A40" w:rsidRDefault="004D2A40" w:rsidP="004D2A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D2A40">
              <w:rPr>
                <w:rFonts w:asciiTheme="minorHAnsi" w:hAnsiTheme="minorHAnsi" w:cstheme="minorHAnsi"/>
                <w:sz w:val="22"/>
                <w:szCs w:val="22"/>
              </w:rPr>
              <w:t xml:space="preserve">b. Fertilisers can leach into fresh water, causing algal blooms. This leads to a reduction in oxygen levels. </w:t>
            </w:r>
          </w:p>
        </w:tc>
        <w:tc>
          <w:tcPr>
            <w:tcW w:w="2976" w:type="dxa"/>
          </w:tcPr>
          <w:p w:rsidR="004D2A40" w:rsidRPr="004D2A40" w:rsidRDefault="004D2A40" w:rsidP="004D2A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D2A40">
              <w:rPr>
                <w:rFonts w:asciiTheme="minorHAnsi" w:hAnsiTheme="minorHAnsi" w:cstheme="minorHAnsi"/>
                <w:sz w:val="22"/>
                <w:szCs w:val="22"/>
              </w:rPr>
              <w:t xml:space="preserve">Investigate the importance of minerals such as nitrates and magnesium for plant growth. </w:t>
            </w:r>
          </w:p>
          <w:p w:rsidR="004D2A40" w:rsidRPr="004D2A40" w:rsidRDefault="004D2A40">
            <w:pPr>
              <w:rPr>
                <w:rFonts w:cstheme="minorHAnsi"/>
                <w:b/>
              </w:rPr>
            </w:pPr>
          </w:p>
        </w:tc>
        <w:tc>
          <w:tcPr>
            <w:tcW w:w="2897" w:type="dxa"/>
          </w:tcPr>
          <w:p w:rsidR="004D2A40" w:rsidRPr="004D2A40" w:rsidRDefault="004D2A40" w:rsidP="004D2A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D2A40">
              <w:rPr>
                <w:rFonts w:asciiTheme="minorHAnsi" w:hAnsiTheme="minorHAnsi" w:cstheme="minorHAnsi"/>
                <w:sz w:val="22"/>
                <w:szCs w:val="22"/>
              </w:rPr>
              <w:t>There are opportunities throughout this topic for learners to investigate and debate ethical issues.</w:t>
            </w:r>
          </w:p>
          <w:p w:rsidR="004D2A40" w:rsidRPr="004D2A40" w:rsidRDefault="004D2A40" w:rsidP="004D2A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D2A40" w:rsidRPr="004D2A40" w:rsidRDefault="004D2A40">
      <w:pPr>
        <w:rPr>
          <w:b/>
          <w:sz w:val="24"/>
          <w:szCs w:val="24"/>
        </w:rPr>
      </w:pPr>
    </w:p>
    <w:p w:rsidR="00CC4879" w:rsidRDefault="004070B7">
      <w:pPr>
        <w:rPr>
          <w:sz w:val="24"/>
          <w:szCs w:val="24"/>
        </w:rPr>
      </w:pPr>
      <w:r>
        <w:rPr>
          <w:sz w:val="24"/>
          <w:szCs w:val="24"/>
        </w:rPr>
        <w:t xml:space="preserve">This practical activity is based on an investigation in </w:t>
      </w:r>
      <w:r>
        <w:rPr>
          <w:i/>
          <w:sz w:val="24"/>
          <w:szCs w:val="24"/>
        </w:rPr>
        <w:t>Algae: a practical resource for secondary schools,</w:t>
      </w:r>
      <w:r>
        <w:rPr>
          <w:sz w:val="24"/>
          <w:szCs w:val="24"/>
        </w:rPr>
        <w:t xml:space="preserve"> Society for General Microbiology, 2012</w:t>
      </w:r>
      <w:r w:rsidR="004D2A40">
        <w:rPr>
          <w:sz w:val="24"/>
          <w:szCs w:val="24"/>
        </w:rPr>
        <w:t>.</w:t>
      </w:r>
    </w:p>
    <w:p w:rsidR="006E45A2" w:rsidRDefault="00A3128D">
      <w:pPr>
        <w:rPr>
          <w:sz w:val="24"/>
          <w:szCs w:val="24"/>
        </w:rPr>
      </w:pPr>
      <w:r>
        <w:rPr>
          <w:sz w:val="24"/>
          <w:szCs w:val="24"/>
        </w:rPr>
        <w:t>Algae are considered to be level 1 microorganisms</w:t>
      </w:r>
      <w:r w:rsidR="00E71A2F">
        <w:rPr>
          <w:sz w:val="24"/>
          <w:szCs w:val="24"/>
        </w:rPr>
        <w:t xml:space="preserve"> (see </w:t>
      </w:r>
      <w:r w:rsidR="00E71A2F" w:rsidRPr="00E71A2F">
        <w:rPr>
          <w:i/>
          <w:sz w:val="24"/>
          <w:szCs w:val="24"/>
        </w:rPr>
        <w:t xml:space="preserve">Safety in Microbiology: </w:t>
      </w:r>
      <w:proofErr w:type="gramStart"/>
      <w:r w:rsidR="00E71A2F" w:rsidRPr="00E71A2F">
        <w:rPr>
          <w:i/>
          <w:sz w:val="24"/>
          <w:szCs w:val="24"/>
        </w:rPr>
        <w:t>A</w:t>
      </w:r>
      <w:proofErr w:type="gramEnd"/>
      <w:r w:rsidR="00E71A2F" w:rsidRPr="00E71A2F">
        <w:rPr>
          <w:i/>
          <w:sz w:val="24"/>
          <w:szCs w:val="24"/>
        </w:rPr>
        <w:t xml:space="preserve"> Code of Practice for Scottish Schools and Colleges</w:t>
      </w:r>
      <w:r w:rsidR="00E71A2F">
        <w:rPr>
          <w:sz w:val="24"/>
          <w:szCs w:val="24"/>
        </w:rPr>
        <w:t>, SSERC, 2012)</w:t>
      </w:r>
      <w:r>
        <w:rPr>
          <w:sz w:val="24"/>
          <w:szCs w:val="24"/>
        </w:rPr>
        <w:t>, having little, if any, known risk.  However, hands should be washed prior to and on completion of the activities involved in</w:t>
      </w:r>
      <w:r w:rsidR="00F91DEC">
        <w:rPr>
          <w:sz w:val="24"/>
          <w:szCs w:val="24"/>
        </w:rPr>
        <w:t xml:space="preserve"> this practical work. Similarly, </w:t>
      </w:r>
      <w:r>
        <w:rPr>
          <w:sz w:val="24"/>
          <w:szCs w:val="24"/>
        </w:rPr>
        <w:t xml:space="preserve">benches should be swabbed with 1% bleach prior to and </w:t>
      </w:r>
      <w:r w:rsidR="00F91DEC">
        <w:rPr>
          <w:sz w:val="24"/>
          <w:szCs w:val="24"/>
        </w:rPr>
        <w:t>on completion of the work</w:t>
      </w:r>
    </w:p>
    <w:p w:rsidR="00A3128D" w:rsidRDefault="00A3128D">
      <w:pPr>
        <w:rPr>
          <w:sz w:val="24"/>
          <w:szCs w:val="24"/>
        </w:rPr>
      </w:pPr>
      <w:r>
        <w:rPr>
          <w:sz w:val="24"/>
          <w:szCs w:val="24"/>
        </w:rPr>
        <w:t xml:space="preserve">Discard jars containing the appropriate concentration of </w:t>
      </w:r>
      <w:proofErr w:type="spellStart"/>
      <w:r>
        <w:rPr>
          <w:sz w:val="24"/>
          <w:szCs w:val="24"/>
        </w:rPr>
        <w:t>Virkon</w:t>
      </w:r>
      <w:r>
        <w:rPr>
          <w:sz w:val="24"/>
          <w:szCs w:val="24"/>
          <w:vertAlign w:val="superscript"/>
        </w:rPr>
        <w:t>TM</w:t>
      </w:r>
      <w:proofErr w:type="spellEnd"/>
      <w:r w:rsidR="00380DEE">
        <w:rPr>
          <w:sz w:val="24"/>
          <w:szCs w:val="24"/>
          <w:vertAlign w:val="superscript"/>
        </w:rPr>
        <w:t xml:space="preserve"> </w:t>
      </w:r>
      <w:r w:rsidR="00380DEE">
        <w:rPr>
          <w:sz w:val="24"/>
          <w:szCs w:val="24"/>
        </w:rPr>
        <w:t>should be made available for sterilising used pipettes and microscope slides.</w:t>
      </w:r>
    </w:p>
    <w:p w:rsidR="00380DEE" w:rsidRDefault="00380DEE" w:rsidP="00380DEE">
      <w:pPr>
        <w:rPr>
          <w:sz w:val="24"/>
          <w:szCs w:val="24"/>
        </w:rPr>
      </w:pPr>
      <w:r>
        <w:rPr>
          <w:sz w:val="24"/>
          <w:szCs w:val="24"/>
        </w:rPr>
        <w:t>Used algal samples should be sterilised by autoclaving before they are discarded.</w:t>
      </w:r>
    </w:p>
    <w:p w:rsidR="00B436A3" w:rsidRDefault="00B436A3" w:rsidP="00B436A3">
      <w:pPr>
        <w:rPr>
          <w:sz w:val="24"/>
          <w:szCs w:val="24"/>
        </w:rPr>
      </w:pPr>
    </w:p>
    <w:p w:rsidR="00B436A3" w:rsidRDefault="00B436A3" w:rsidP="00B436A3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380DEE">
        <w:rPr>
          <w:b/>
          <w:sz w:val="24"/>
          <w:szCs w:val="24"/>
        </w:rPr>
        <w:t>purpose</w:t>
      </w:r>
      <w:r>
        <w:rPr>
          <w:sz w:val="24"/>
          <w:szCs w:val="24"/>
        </w:rPr>
        <w:t xml:space="preserve"> of this practical activity is to demonstrate the effect of</w:t>
      </w:r>
      <w:r w:rsidRPr="00380DEE">
        <w:rPr>
          <w:sz w:val="24"/>
          <w:szCs w:val="24"/>
        </w:rPr>
        <w:t xml:space="preserve"> fertilisers</w:t>
      </w:r>
      <w:r>
        <w:rPr>
          <w:sz w:val="24"/>
          <w:szCs w:val="24"/>
        </w:rPr>
        <w:t xml:space="preserve"> on the growth of an algal population.  Here </w:t>
      </w:r>
      <w:r w:rsidRPr="00207866">
        <w:rPr>
          <w:i/>
          <w:sz w:val="24"/>
          <w:szCs w:val="24"/>
        </w:rPr>
        <w:t xml:space="preserve">Euglena </w:t>
      </w:r>
      <w:proofErr w:type="spellStart"/>
      <w:r w:rsidRPr="00207866">
        <w:rPr>
          <w:i/>
          <w:sz w:val="24"/>
          <w:szCs w:val="24"/>
        </w:rPr>
        <w:t>gracilis</w:t>
      </w:r>
      <w:proofErr w:type="spellEnd"/>
      <w:r>
        <w:rPr>
          <w:sz w:val="24"/>
          <w:szCs w:val="24"/>
        </w:rPr>
        <w:t xml:space="preserve"> is used.  This is a common algal species which will bloom due to the effects of </w:t>
      </w:r>
      <w:proofErr w:type="spellStart"/>
      <w:r>
        <w:rPr>
          <w:sz w:val="24"/>
          <w:szCs w:val="24"/>
        </w:rPr>
        <w:t>eutrophication</w:t>
      </w:r>
      <w:proofErr w:type="spellEnd"/>
      <w:r>
        <w:rPr>
          <w:sz w:val="24"/>
          <w:szCs w:val="24"/>
        </w:rPr>
        <w:t>.</w:t>
      </w:r>
    </w:p>
    <w:p w:rsidR="00627D42" w:rsidRDefault="00627D42" w:rsidP="00B436A3">
      <w:pPr>
        <w:rPr>
          <w:i/>
          <w:sz w:val="24"/>
          <w:szCs w:val="24"/>
        </w:rPr>
      </w:pPr>
    </w:p>
    <w:p w:rsidR="00B436A3" w:rsidRDefault="00B436A3" w:rsidP="00B436A3">
      <w:pPr>
        <w:rPr>
          <w:sz w:val="24"/>
          <w:szCs w:val="24"/>
        </w:rPr>
      </w:pPr>
      <w:r w:rsidRPr="00E71A2F">
        <w:rPr>
          <w:i/>
          <w:sz w:val="24"/>
          <w:szCs w:val="24"/>
        </w:rPr>
        <w:lastRenderedPageBreak/>
        <w:t xml:space="preserve">Euglena </w:t>
      </w:r>
      <w:proofErr w:type="spellStart"/>
      <w:r w:rsidRPr="00E71A2F">
        <w:rPr>
          <w:i/>
          <w:sz w:val="24"/>
          <w:szCs w:val="24"/>
        </w:rPr>
        <w:t>gracilis</w:t>
      </w:r>
      <w:proofErr w:type="spellEnd"/>
      <w:r>
        <w:rPr>
          <w:sz w:val="24"/>
          <w:szCs w:val="24"/>
        </w:rPr>
        <w:t xml:space="preserve"> can be obtained from </w:t>
      </w:r>
      <w:proofErr w:type="spellStart"/>
      <w:r>
        <w:rPr>
          <w:sz w:val="24"/>
          <w:szCs w:val="24"/>
        </w:rPr>
        <w:t>Sciento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5" w:history="1">
        <w:r w:rsidRPr="007259A0">
          <w:rPr>
            <w:rStyle w:val="Hyperlink"/>
            <w:sz w:val="24"/>
            <w:szCs w:val="24"/>
          </w:rPr>
          <w:t>www.sciento.co.uk</w:t>
        </w:r>
      </w:hyperlink>
    </w:p>
    <w:p w:rsidR="00B436A3" w:rsidRPr="00B436A3" w:rsidRDefault="00B436A3" w:rsidP="00B436A3">
      <w:pPr>
        <w:rPr>
          <w:sz w:val="24"/>
          <w:szCs w:val="24"/>
        </w:rPr>
      </w:pPr>
      <w:r>
        <w:rPr>
          <w:sz w:val="24"/>
          <w:szCs w:val="24"/>
        </w:rPr>
        <w:t xml:space="preserve">Follow the </w:t>
      </w:r>
      <w:proofErr w:type="gramStart"/>
      <w:r>
        <w:rPr>
          <w:sz w:val="24"/>
          <w:szCs w:val="24"/>
        </w:rPr>
        <w:t>suppliers</w:t>
      </w:r>
      <w:proofErr w:type="gramEnd"/>
      <w:r>
        <w:rPr>
          <w:sz w:val="24"/>
          <w:szCs w:val="24"/>
        </w:rPr>
        <w:t xml:space="preserve"> instructions for cultivating the algae.</w:t>
      </w:r>
    </w:p>
    <w:p w:rsidR="00207866" w:rsidRDefault="00380DEE">
      <w:pPr>
        <w:rPr>
          <w:b/>
          <w:sz w:val="24"/>
          <w:szCs w:val="24"/>
        </w:rPr>
      </w:pPr>
      <w:r>
        <w:rPr>
          <w:b/>
          <w:sz w:val="24"/>
          <w:szCs w:val="24"/>
        </w:rPr>
        <w:t>Notes on the m</w:t>
      </w:r>
      <w:r w:rsidR="00207866">
        <w:rPr>
          <w:b/>
          <w:sz w:val="24"/>
          <w:szCs w:val="24"/>
        </w:rPr>
        <w:t>ethod</w:t>
      </w:r>
    </w:p>
    <w:p w:rsidR="00207866" w:rsidRDefault="00207866" w:rsidP="002078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use of conical flasks will reduce evaporation since</w:t>
      </w:r>
      <w:r w:rsidR="006E45A2">
        <w:rPr>
          <w:sz w:val="24"/>
          <w:szCs w:val="24"/>
        </w:rPr>
        <w:t xml:space="preserve"> the investigation is to proceed</w:t>
      </w:r>
      <w:r>
        <w:rPr>
          <w:sz w:val="24"/>
          <w:szCs w:val="24"/>
        </w:rPr>
        <w:t xml:space="preserve"> for several weeks</w:t>
      </w:r>
      <w:r w:rsidR="006E45A2">
        <w:rPr>
          <w:sz w:val="24"/>
          <w:szCs w:val="24"/>
        </w:rPr>
        <w:t>.</w:t>
      </w:r>
    </w:p>
    <w:p w:rsidR="00207866" w:rsidRDefault="006E45A2" w:rsidP="002078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amount of fertiliser used should be as recommended by the manufacturer.</w:t>
      </w:r>
    </w:p>
    <w:p w:rsidR="006E45A2" w:rsidRDefault="006E45A2" w:rsidP="002078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liquid in the </w:t>
      </w:r>
      <w:proofErr w:type="spellStart"/>
      <w:r>
        <w:rPr>
          <w:sz w:val="24"/>
          <w:szCs w:val="24"/>
        </w:rPr>
        <w:t>cuvettes</w:t>
      </w:r>
      <w:proofErr w:type="spellEnd"/>
      <w:r>
        <w:rPr>
          <w:sz w:val="24"/>
          <w:szCs w:val="24"/>
        </w:rPr>
        <w:t xml:space="preserve"> used for the ‘blank’ colorimeter measurements should be retained and frozen in between weekly measurements.  This is to reduce bacterial contamination which might cloud the liquids.</w:t>
      </w:r>
    </w:p>
    <w:p w:rsidR="006E45A2" w:rsidRDefault="00380DEE" w:rsidP="002078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colorime</w:t>
      </w:r>
      <w:r w:rsidR="00E71A2F">
        <w:rPr>
          <w:sz w:val="24"/>
          <w:szCs w:val="24"/>
        </w:rPr>
        <w:t xml:space="preserve">ter </w:t>
      </w:r>
      <w:r w:rsidR="006E45A2">
        <w:rPr>
          <w:sz w:val="24"/>
          <w:szCs w:val="24"/>
        </w:rPr>
        <w:t>is set at 665 nm</w:t>
      </w:r>
      <w:r w:rsidR="00CF2CEB">
        <w:rPr>
          <w:sz w:val="24"/>
          <w:szCs w:val="24"/>
        </w:rPr>
        <w:t>.</w:t>
      </w:r>
    </w:p>
    <w:p w:rsidR="006E45A2" w:rsidRDefault="006E45A2" w:rsidP="002078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Flasks should be left close to a light source.  The lamp can be turned off at night, or left on constantly.</w:t>
      </w:r>
    </w:p>
    <w:p w:rsidR="00380DEE" w:rsidRDefault="00380DEE" w:rsidP="00380DEE">
      <w:pPr>
        <w:rPr>
          <w:b/>
          <w:sz w:val="24"/>
          <w:szCs w:val="24"/>
        </w:rPr>
      </w:pPr>
      <w:r w:rsidRPr="00380DEE">
        <w:rPr>
          <w:b/>
          <w:sz w:val="24"/>
          <w:szCs w:val="24"/>
        </w:rPr>
        <w:t>Materials</w:t>
      </w:r>
      <w:r>
        <w:rPr>
          <w:b/>
          <w:sz w:val="24"/>
          <w:szCs w:val="24"/>
        </w:rPr>
        <w:t xml:space="preserve"> for setting up the cultures</w:t>
      </w:r>
    </w:p>
    <w:p w:rsidR="00F91DEC" w:rsidRPr="00F91DEC" w:rsidRDefault="00F91DEC" w:rsidP="00380DE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For each group of pupils</w:t>
      </w:r>
    </w:p>
    <w:p w:rsidR="00380DEE" w:rsidRPr="00380DEE" w:rsidRDefault="00380DEE" w:rsidP="00380DE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80DEE">
        <w:rPr>
          <w:sz w:val="24"/>
          <w:szCs w:val="24"/>
        </w:rPr>
        <w:t>Measuring cylinder</w:t>
      </w:r>
    </w:p>
    <w:p w:rsidR="00380DEE" w:rsidRPr="00380DEE" w:rsidRDefault="00380DEE" w:rsidP="00380DE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80DEE">
        <w:rPr>
          <w:sz w:val="24"/>
          <w:szCs w:val="24"/>
        </w:rPr>
        <w:t>2 x conical flasks</w:t>
      </w:r>
    </w:p>
    <w:p w:rsidR="00380DEE" w:rsidRPr="00380DEE" w:rsidRDefault="00380DEE" w:rsidP="00380DE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80DEE">
        <w:rPr>
          <w:sz w:val="24"/>
          <w:szCs w:val="24"/>
        </w:rPr>
        <w:t>Distilled water</w:t>
      </w:r>
    </w:p>
    <w:p w:rsidR="00380DEE" w:rsidRPr="00380DEE" w:rsidRDefault="00380DEE" w:rsidP="00380DE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80DEE">
        <w:rPr>
          <w:sz w:val="24"/>
          <w:szCs w:val="24"/>
        </w:rPr>
        <w:t xml:space="preserve">Baby </w:t>
      </w:r>
      <w:proofErr w:type="spellStart"/>
      <w:r w:rsidRPr="00380DEE">
        <w:rPr>
          <w:sz w:val="24"/>
          <w:szCs w:val="24"/>
        </w:rPr>
        <w:t>Bio</w:t>
      </w:r>
      <w:r w:rsidRPr="00380DEE">
        <w:rPr>
          <w:sz w:val="24"/>
          <w:szCs w:val="24"/>
          <w:vertAlign w:val="superscript"/>
        </w:rPr>
        <w:t>TM</w:t>
      </w:r>
      <w:proofErr w:type="spellEnd"/>
      <w:r w:rsidRPr="00380DEE">
        <w:rPr>
          <w:sz w:val="24"/>
          <w:szCs w:val="24"/>
        </w:rPr>
        <w:t xml:space="preserve"> (or other suitable liquid plant fertiliser)</w:t>
      </w:r>
    </w:p>
    <w:p w:rsidR="00380DEE" w:rsidRPr="00380DEE" w:rsidRDefault="00F91DEC" w:rsidP="00380DE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Access to a c</w:t>
      </w:r>
      <w:r w:rsidR="00380DEE" w:rsidRPr="00380DEE">
        <w:rPr>
          <w:sz w:val="24"/>
          <w:szCs w:val="24"/>
        </w:rPr>
        <w:t>olorimeter</w:t>
      </w:r>
    </w:p>
    <w:p w:rsidR="00380DEE" w:rsidRPr="00380DEE" w:rsidRDefault="00380DEE" w:rsidP="00380DE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80DEE">
        <w:rPr>
          <w:sz w:val="24"/>
          <w:szCs w:val="24"/>
        </w:rPr>
        <w:t xml:space="preserve">2 x </w:t>
      </w:r>
      <w:proofErr w:type="spellStart"/>
      <w:r w:rsidRPr="00380DEE">
        <w:rPr>
          <w:sz w:val="24"/>
          <w:szCs w:val="24"/>
        </w:rPr>
        <w:t>cuvette</w:t>
      </w:r>
      <w:proofErr w:type="spellEnd"/>
    </w:p>
    <w:p w:rsidR="00380DEE" w:rsidRPr="00380DEE" w:rsidRDefault="00380DEE" w:rsidP="00380DE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80DEE">
        <w:rPr>
          <w:sz w:val="24"/>
          <w:szCs w:val="24"/>
        </w:rPr>
        <w:t>3 x plastic pipette</w:t>
      </w:r>
    </w:p>
    <w:p w:rsidR="00380DEE" w:rsidRPr="00380DEE" w:rsidRDefault="00380DEE" w:rsidP="00380DE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80DEE">
        <w:rPr>
          <w:sz w:val="24"/>
          <w:szCs w:val="24"/>
        </w:rPr>
        <w:t>Access to a discard jar</w:t>
      </w:r>
      <w:r w:rsidR="00627D42">
        <w:rPr>
          <w:sz w:val="24"/>
          <w:szCs w:val="24"/>
        </w:rPr>
        <w:t xml:space="preserve"> containing </w:t>
      </w:r>
      <w:proofErr w:type="spellStart"/>
      <w:r w:rsidR="00627D42">
        <w:rPr>
          <w:sz w:val="24"/>
          <w:szCs w:val="24"/>
        </w:rPr>
        <w:t>Virkon</w:t>
      </w:r>
      <w:r w:rsidR="00627D42">
        <w:rPr>
          <w:sz w:val="24"/>
          <w:szCs w:val="24"/>
          <w:vertAlign w:val="superscript"/>
        </w:rPr>
        <w:t>TM</w:t>
      </w:r>
      <w:proofErr w:type="spellEnd"/>
    </w:p>
    <w:p w:rsidR="00380DEE" w:rsidRPr="00380DEE" w:rsidRDefault="00380DEE" w:rsidP="00380DEE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380DEE">
        <w:rPr>
          <w:sz w:val="24"/>
          <w:szCs w:val="24"/>
        </w:rPr>
        <w:t xml:space="preserve">Culture of </w:t>
      </w:r>
      <w:r w:rsidRPr="00380DEE">
        <w:rPr>
          <w:i/>
          <w:sz w:val="24"/>
          <w:szCs w:val="24"/>
        </w:rPr>
        <w:t xml:space="preserve">Euglena </w:t>
      </w:r>
      <w:proofErr w:type="spellStart"/>
      <w:r w:rsidRPr="00380DEE">
        <w:rPr>
          <w:i/>
          <w:sz w:val="24"/>
          <w:szCs w:val="24"/>
        </w:rPr>
        <w:t>gracilis</w:t>
      </w:r>
      <w:proofErr w:type="spellEnd"/>
      <w:r>
        <w:rPr>
          <w:i/>
          <w:sz w:val="24"/>
          <w:szCs w:val="24"/>
        </w:rPr>
        <w:t xml:space="preserve"> </w:t>
      </w:r>
      <w:r w:rsidRPr="00380DEE">
        <w:rPr>
          <w:sz w:val="24"/>
          <w:szCs w:val="24"/>
        </w:rPr>
        <w:t>(</w:t>
      </w:r>
      <w:r>
        <w:rPr>
          <w:sz w:val="24"/>
          <w:szCs w:val="24"/>
        </w:rPr>
        <w:t>pre-dispensed 25</w:t>
      </w:r>
      <w:r w:rsidR="00BB65CD">
        <w:rPr>
          <w:sz w:val="24"/>
          <w:szCs w:val="24"/>
        </w:rPr>
        <w:t xml:space="preserve"> </w:t>
      </w:r>
      <w:r>
        <w:rPr>
          <w:sz w:val="24"/>
          <w:szCs w:val="24"/>
        </w:rPr>
        <w:t>cm</w:t>
      </w:r>
      <w:r w:rsidRPr="00380DEE">
        <w:rPr>
          <w:sz w:val="24"/>
          <w:szCs w:val="24"/>
          <w:vertAlign w:val="superscript"/>
        </w:rPr>
        <w:t>3</w:t>
      </w:r>
      <w:r w:rsidRPr="00380DEE">
        <w:rPr>
          <w:sz w:val="24"/>
          <w:szCs w:val="24"/>
        </w:rPr>
        <w:t>)</w:t>
      </w:r>
    </w:p>
    <w:p w:rsidR="00380DEE" w:rsidRPr="00B436A3" w:rsidRDefault="00380DEE" w:rsidP="00380DEE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380DEE">
        <w:rPr>
          <w:sz w:val="24"/>
          <w:szCs w:val="24"/>
        </w:rPr>
        <w:t xml:space="preserve">Control </w:t>
      </w:r>
      <w:proofErr w:type="spellStart"/>
      <w:r w:rsidRPr="00380DEE">
        <w:rPr>
          <w:sz w:val="24"/>
          <w:szCs w:val="24"/>
        </w:rPr>
        <w:t>cuvette</w:t>
      </w:r>
      <w:proofErr w:type="spellEnd"/>
      <w:r w:rsidRPr="00380DEE">
        <w:rPr>
          <w:sz w:val="24"/>
          <w:szCs w:val="24"/>
        </w:rPr>
        <w:t xml:space="preserve"> 1 – containing distilled water.  Control </w:t>
      </w:r>
      <w:proofErr w:type="spellStart"/>
      <w:r w:rsidRPr="00380DEE">
        <w:rPr>
          <w:sz w:val="24"/>
          <w:szCs w:val="24"/>
        </w:rPr>
        <w:t>cuvette</w:t>
      </w:r>
      <w:proofErr w:type="spellEnd"/>
      <w:r w:rsidRPr="00380DEE">
        <w:rPr>
          <w:sz w:val="24"/>
          <w:szCs w:val="24"/>
        </w:rPr>
        <w:t xml:space="preserve"> 2 containing fertiliser solution.  (These should be retained and frozen after each colorimeter reading).</w:t>
      </w:r>
    </w:p>
    <w:p w:rsidR="00B436A3" w:rsidRDefault="00B436A3" w:rsidP="00B436A3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Materials for preparing the hanging drop</w:t>
      </w:r>
    </w:p>
    <w:p w:rsidR="00584258" w:rsidRDefault="00B436A3" w:rsidP="00F91DEC">
      <w:pPr>
        <w:rPr>
          <w:sz w:val="24"/>
          <w:szCs w:val="24"/>
        </w:rPr>
      </w:pPr>
      <w:r>
        <w:rPr>
          <w:sz w:val="24"/>
          <w:szCs w:val="24"/>
        </w:rPr>
        <w:t xml:space="preserve">Using the hanging drop method for observing the algae under the microscope avoids the use of fragile </w:t>
      </w:r>
      <w:proofErr w:type="spellStart"/>
      <w:r>
        <w:rPr>
          <w:sz w:val="24"/>
          <w:szCs w:val="24"/>
        </w:rPr>
        <w:t>coverslips</w:t>
      </w:r>
      <w:proofErr w:type="spellEnd"/>
      <w:r>
        <w:rPr>
          <w:sz w:val="24"/>
          <w:szCs w:val="24"/>
        </w:rPr>
        <w:t xml:space="preserve"> and avoids the expense of cavity slides.</w:t>
      </w:r>
    </w:p>
    <w:p w:rsidR="00584258" w:rsidRDefault="00584258" w:rsidP="00F91DEC">
      <w:pPr>
        <w:rPr>
          <w:sz w:val="24"/>
          <w:szCs w:val="24"/>
        </w:rPr>
      </w:pPr>
      <w:r>
        <w:rPr>
          <w:sz w:val="24"/>
          <w:szCs w:val="24"/>
        </w:rPr>
        <w:t>See the Preparing a Hanging Drop help card.</w:t>
      </w:r>
    </w:p>
    <w:p w:rsidR="00F91DEC" w:rsidRPr="00584258" w:rsidRDefault="00F91DEC" w:rsidP="00F91DEC">
      <w:pPr>
        <w:rPr>
          <w:sz w:val="24"/>
          <w:szCs w:val="24"/>
        </w:rPr>
      </w:pPr>
      <w:r>
        <w:rPr>
          <w:b/>
          <w:i/>
          <w:sz w:val="24"/>
          <w:szCs w:val="24"/>
        </w:rPr>
        <w:t>For each group of pupils</w:t>
      </w:r>
    </w:p>
    <w:p w:rsidR="00F91DEC" w:rsidRDefault="00F91DEC" w:rsidP="00F91DE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91DEC">
        <w:rPr>
          <w:rFonts w:cstheme="minorHAnsi"/>
          <w:sz w:val="24"/>
          <w:szCs w:val="24"/>
        </w:rPr>
        <w:t>Microscope</w:t>
      </w:r>
      <w:r>
        <w:rPr>
          <w:rFonts w:cstheme="minorHAnsi"/>
          <w:sz w:val="24"/>
          <w:szCs w:val="24"/>
        </w:rPr>
        <w:t xml:space="preserve"> </w:t>
      </w:r>
    </w:p>
    <w:p w:rsidR="00F91DEC" w:rsidRDefault="00F91DEC" w:rsidP="00F91DE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91DEC">
        <w:rPr>
          <w:rFonts w:cstheme="minorHAnsi"/>
          <w:sz w:val="24"/>
          <w:szCs w:val="24"/>
        </w:rPr>
        <w:t>Two  glass</w:t>
      </w:r>
    </w:p>
    <w:p w:rsidR="00F91DEC" w:rsidRPr="00F91DEC" w:rsidRDefault="00F91DEC" w:rsidP="00F91DE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91DEC">
        <w:rPr>
          <w:rFonts w:cstheme="minorHAnsi"/>
          <w:sz w:val="24"/>
          <w:szCs w:val="24"/>
        </w:rPr>
        <w:t>Lens tissue</w:t>
      </w:r>
    </w:p>
    <w:p w:rsidR="00F91DEC" w:rsidRDefault="00F91DEC" w:rsidP="00F91DE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91DEC">
        <w:rPr>
          <w:rFonts w:cstheme="minorHAnsi"/>
          <w:sz w:val="24"/>
          <w:szCs w:val="24"/>
        </w:rPr>
        <w:t>Pipette</w:t>
      </w:r>
      <w:r w:rsidRPr="00F91DEC">
        <w:rPr>
          <w:rFonts w:cstheme="minorHAnsi"/>
          <w:sz w:val="24"/>
          <w:szCs w:val="24"/>
        </w:rPr>
        <w:tab/>
      </w:r>
      <w:r w:rsidRPr="00F91DEC">
        <w:rPr>
          <w:rFonts w:cstheme="minorHAnsi"/>
          <w:sz w:val="24"/>
          <w:szCs w:val="24"/>
        </w:rPr>
        <w:tab/>
      </w:r>
      <w:r w:rsidRPr="00F91DEC">
        <w:rPr>
          <w:rFonts w:cstheme="minorHAnsi"/>
          <w:sz w:val="24"/>
          <w:szCs w:val="24"/>
        </w:rPr>
        <w:tab/>
      </w:r>
      <w:r w:rsidRPr="00F91DEC">
        <w:rPr>
          <w:rFonts w:cstheme="minorHAnsi"/>
          <w:sz w:val="24"/>
          <w:szCs w:val="24"/>
        </w:rPr>
        <w:tab/>
        <w:t xml:space="preserve">           </w:t>
      </w:r>
    </w:p>
    <w:p w:rsidR="00F91DEC" w:rsidRPr="00F91DEC" w:rsidRDefault="00F91DEC" w:rsidP="00F91DE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91DEC">
        <w:rPr>
          <w:rFonts w:cstheme="minorHAnsi"/>
          <w:sz w:val="24"/>
          <w:szCs w:val="24"/>
        </w:rPr>
        <w:t xml:space="preserve"> </w:t>
      </w:r>
      <w:proofErr w:type="spellStart"/>
      <w:r w:rsidRPr="00F91DEC">
        <w:rPr>
          <w:rFonts w:cstheme="minorHAnsi"/>
          <w:sz w:val="24"/>
          <w:szCs w:val="24"/>
        </w:rPr>
        <w:t>Blu-tak</w:t>
      </w:r>
      <w:r w:rsidRPr="00F91DEC">
        <w:rPr>
          <w:rFonts w:cstheme="minorHAnsi"/>
          <w:sz w:val="24"/>
          <w:szCs w:val="24"/>
          <w:vertAlign w:val="superscript"/>
        </w:rPr>
        <w:t>TM</w:t>
      </w:r>
      <w:proofErr w:type="spellEnd"/>
    </w:p>
    <w:p w:rsidR="004070B7" w:rsidRPr="00F91DEC" w:rsidRDefault="00F91DEC" w:rsidP="00F91DE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91DEC">
        <w:rPr>
          <w:rFonts w:cstheme="minorHAnsi"/>
          <w:sz w:val="24"/>
          <w:szCs w:val="24"/>
        </w:rPr>
        <w:t>Paper towels</w:t>
      </w:r>
    </w:p>
    <w:sectPr w:rsidR="004070B7" w:rsidRPr="00F91DEC" w:rsidSect="00627D42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D63"/>
    <w:multiLevelType w:val="hybridMultilevel"/>
    <w:tmpl w:val="C3263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D085D"/>
    <w:multiLevelType w:val="hybridMultilevel"/>
    <w:tmpl w:val="349EE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406B5"/>
    <w:multiLevelType w:val="hybridMultilevel"/>
    <w:tmpl w:val="E4FA0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70B7"/>
    <w:rsid w:val="00100210"/>
    <w:rsid w:val="001E7A8A"/>
    <w:rsid w:val="00207866"/>
    <w:rsid w:val="00235AA0"/>
    <w:rsid w:val="003457D2"/>
    <w:rsid w:val="00380DEE"/>
    <w:rsid w:val="004070B7"/>
    <w:rsid w:val="004D0C2E"/>
    <w:rsid w:val="004D2A40"/>
    <w:rsid w:val="00513B2C"/>
    <w:rsid w:val="00537925"/>
    <w:rsid w:val="00584258"/>
    <w:rsid w:val="00627D42"/>
    <w:rsid w:val="006632A8"/>
    <w:rsid w:val="0068349E"/>
    <w:rsid w:val="006E45A2"/>
    <w:rsid w:val="007C7578"/>
    <w:rsid w:val="00922BA5"/>
    <w:rsid w:val="00A3128D"/>
    <w:rsid w:val="00B436A3"/>
    <w:rsid w:val="00BB1AA0"/>
    <w:rsid w:val="00BB65CD"/>
    <w:rsid w:val="00BF63A9"/>
    <w:rsid w:val="00CC4879"/>
    <w:rsid w:val="00CF2CEB"/>
    <w:rsid w:val="00CF5E7C"/>
    <w:rsid w:val="00E71A2F"/>
    <w:rsid w:val="00F734E6"/>
    <w:rsid w:val="00F91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5A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2078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36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iento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 Andrews</cp:lastModifiedBy>
  <cp:revision>5</cp:revision>
  <dcterms:created xsi:type="dcterms:W3CDTF">2012-11-20T16:30:00Z</dcterms:created>
  <dcterms:modified xsi:type="dcterms:W3CDTF">2013-04-11T11:04:00Z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625438054</vt:i4>
  </property>
</Properties>
</file>